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4D3B" w:rsidRDefault="00144D3B"/>
    <w:p w:rsidR="00E16E68" w:rsidRDefault="0016476D" w:rsidP="00E16E68">
      <w:pPr>
        <w:jc w:val="center"/>
        <w:rPr>
          <w:b/>
          <w:sz w:val="24"/>
          <w:szCs w:val="24"/>
        </w:rPr>
      </w:pPr>
      <w:r>
        <w:rPr>
          <w:b/>
          <w:sz w:val="24"/>
          <w:szCs w:val="24"/>
        </w:rPr>
        <w:t>PA Superior Court</w:t>
      </w:r>
    </w:p>
    <w:p w:rsidR="00E16E68" w:rsidRPr="000933B7" w:rsidRDefault="00E16E68" w:rsidP="00E16E68">
      <w:pPr>
        <w:rPr>
          <w:sz w:val="24"/>
          <w:szCs w:val="24"/>
        </w:rPr>
      </w:pPr>
      <w:r>
        <w:rPr>
          <w:b/>
          <w:sz w:val="24"/>
          <w:szCs w:val="24"/>
        </w:rPr>
        <w:t>Case:</w:t>
      </w:r>
      <w:r w:rsidR="000933B7">
        <w:rPr>
          <w:sz w:val="24"/>
          <w:szCs w:val="24"/>
        </w:rPr>
        <w:t xml:space="preserve"> </w:t>
      </w:r>
      <w:r w:rsidR="00C44E50">
        <w:t xml:space="preserve">Chauncey M. Boykin, Appellant v. Donnell D. Brown, </w:t>
      </w:r>
      <w:proofErr w:type="spellStart"/>
      <w:r w:rsidR="00C44E50">
        <w:t>Appellee</w:t>
      </w:r>
      <w:proofErr w:type="spellEnd"/>
    </w:p>
    <w:p w:rsidR="00E16E68" w:rsidRPr="00C44E50" w:rsidRDefault="00E16E68" w:rsidP="00E16E68">
      <w:pPr>
        <w:rPr>
          <w:sz w:val="24"/>
          <w:szCs w:val="24"/>
        </w:rPr>
      </w:pPr>
      <w:r>
        <w:rPr>
          <w:b/>
          <w:sz w:val="24"/>
          <w:szCs w:val="24"/>
        </w:rPr>
        <w:t>Judge:</w:t>
      </w:r>
      <w:r>
        <w:rPr>
          <w:b/>
          <w:sz w:val="24"/>
          <w:szCs w:val="24"/>
        </w:rPr>
        <w:tab/>
      </w:r>
      <w:r w:rsidR="00C44E50">
        <w:rPr>
          <w:sz w:val="24"/>
          <w:szCs w:val="24"/>
        </w:rPr>
        <w:t xml:space="preserve">J. </w:t>
      </w:r>
      <w:proofErr w:type="spellStart"/>
      <w:r w:rsidR="00C44E50">
        <w:rPr>
          <w:sz w:val="24"/>
          <w:szCs w:val="24"/>
        </w:rPr>
        <w:t>Musmanno</w:t>
      </w:r>
      <w:proofErr w:type="spellEnd"/>
      <w:r>
        <w:rPr>
          <w:b/>
          <w:sz w:val="24"/>
          <w:szCs w:val="24"/>
        </w:rPr>
        <w:tab/>
      </w:r>
      <w:r>
        <w:rPr>
          <w:b/>
          <w:sz w:val="24"/>
          <w:szCs w:val="24"/>
        </w:rPr>
        <w:tab/>
      </w:r>
      <w:r>
        <w:rPr>
          <w:b/>
          <w:sz w:val="24"/>
          <w:szCs w:val="24"/>
        </w:rPr>
        <w:tab/>
      </w:r>
      <w:r>
        <w:rPr>
          <w:b/>
          <w:sz w:val="24"/>
          <w:szCs w:val="24"/>
        </w:rPr>
        <w:tab/>
        <w:t>Date:</w:t>
      </w:r>
      <w:r w:rsidR="000933B7">
        <w:rPr>
          <w:sz w:val="24"/>
          <w:szCs w:val="24"/>
        </w:rPr>
        <w:t xml:space="preserve"> </w:t>
      </w:r>
      <w:r w:rsidR="00C44E50">
        <w:rPr>
          <w:sz w:val="24"/>
          <w:szCs w:val="24"/>
        </w:rPr>
        <w:t>February 15, 2005</w:t>
      </w:r>
    </w:p>
    <w:p w:rsidR="00E16E68" w:rsidRPr="000933B7" w:rsidRDefault="00E16E68" w:rsidP="00E16E68">
      <w:pPr>
        <w:rPr>
          <w:sz w:val="24"/>
          <w:szCs w:val="24"/>
        </w:rPr>
      </w:pPr>
      <w:r>
        <w:rPr>
          <w:b/>
          <w:sz w:val="24"/>
          <w:szCs w:val="24"/>
        </w:rPr>
        <w:t>Tags:</w:t>
      </w:r>
      <w:r w:rsidR="000933B7">
        <w:rPr>
          <w:sz w:val="24"/>
          <w:szCs w:val="24"/>
        </w:rPr>
        <w:t xml:space="preserve"> </w:t>
      </w:r>
      <w:r w:rsidR="002F4A56">
        <w:rPr>
          <w:sz w:val="24"/>
          <w:szCs w:val="24"/>
        </w:rPr>
        <w:t>PFA, preponderance of evidence, criminality, rape, testimony, “excited utterances” as admissible evidence</w:t>
      </w:r>
    </w:p>
    <w:p w:rsidR="00E16E68" w:rsidRPr="000933B7" w:rsidRDefault="00E16E68" w:rsidP="00E16E68">
      <w:pPr>
        <w:rPr>
          <w:sz w:val="24"/>
          <w:szCs w:val="24"/>
        </w:rPr>
      </w:pPr>
      <w:r>
        <w:rPr>
          <w:b/>
          <w:sz w:val="24"/>
          <w:szCs w:val="24"/>
        </w:rPr>
        <w:t>Facts:</w:t>
      </w:r>
      <w:r w:rsidR="000933B7">
        <w:rPr>
          <w:sz w:val="24"/>
          <w:szCs w:val="24"/>
        </w:rPr>
        <w:t xml:space="preserve"> </w:t>
      </w:r>
      <w:r w:rsidR="00C44E50">
        <w:rPr>
          <w:sz w:val="24"/>
          <w:szCs w:val="24"/>
        </w:rPr>
        <w:t xml:space="preserve">Boykin (mother) was picking up son at home of Brown (father).  Brown insisted that she have sex with him, and kept touching and grabbing her as she tried to leave.  He pushed her down on the bed and raped her.  </w:t>
      </w:r>
      <w:proofErr w:type="gramStart"/>
      <w:r w:rsidR="00C44E50">
        <w:rPr>
          <w:sz w:val="24"/>
          <w:szCs w:val="24"/>
        </w:rPr>
        <w:t>(Which he denies.)</w:t>
      </w:r>
      <w:proofErr w:type="gramEnd"/>
      <w:r w:rsidR="00C44E50">
        <w:rPr>
          <w:sz w:val="24"/>
          <w:szCs w:val="24"/>
        </w:rPr>
        <w:t xml:space="preserve">  </w:t>
      </w:r>
    </w:p>
    <w:p w:rsidR="0010547E" w:rsidRDefault="00E16E68" w:rsidP="0015215A">
      <w:pPr>
        <w:spacing w:after="0"/>
        <w:rPr>
          <w:sz w:val="24"/>
          <w:szCs w:val="24"/>
        </w:rPr>
      </w:pPr>
      <w:r>
        <w:rPr>
          <w:b/>
          <w:sz w:val="24"/>
          <w:szCs w:val="24"/>
        </w:rPr>
        <w:t>Gravamen/Question(s) at issue:</w:t>
      </w:r>
      <w:r w:rsidR="000933B7">
        <w:rPr>
          <w:sz w:val="24"/>
          <w:szCs w:val="24"/>
        </w:rPr>
        <w:t xml:space="preserve"> </w:t>
      </w:r>
      <w:r w:rsidR="00C44E50">
        <w:rPr>
          <w:sz w:val="24"/>
          <w:szCs w:val="24"/>
        </w:rPr>
        <w:t>Appeal of PFA dismissal</w:t>
      </w:r>
      <w:r w:rsidR="00814A89">
        <w:rPr>
          <w:sz w:val="24"/>
          <w:szCs w:val="24"/>
        </w:rPr>
        <w:br/>
        <w:t>* Does “abuse” need to rise to the level of criminal acts to deserve PFA?</w:t>
      </w:r>
    </w:p>
    <w:p w:rsidR="00814A89" w:rsidRDefault="00814A89" w:rsidP="00814A89">
      <w:pPr>
        <w:pStyle w:val="ListParagraph"/>
        <w:numPr>
          <w:ilvl w:val="0"/>
          <w:numId w:val="3"/>
        </w:numPr>
        <w:spacing w:after="0"/>
        <w:rPr>
          <w:sz w:val="24"/>
          <w:szCs w:val="24"/>
        </w:rPr>
      </w:pPr>
      <w:r>
        <w:rPr>
          <w:sz w:val="24"/>
          <w:szCs w:val="24"/>
        </w:rPr>
        <w:t>Was trial court wrong to base its decision about the PFA on whether police filed charges?</w:t>
      </w:r>
    </w:p>
    <w:p w:rsidR="00814A89" w:rsidRDefault="00814A89" w:rsidP="00814A89">
      <w:pPr>
        <w:pStyle w:val="ListParagraph"/>
        <w:numPr>
          <w:ilvl w:val="0"/>
          <w:numId w:val="3"/>
        </w:numPr>
        <w:spacing w:after="0"/>
        <w:rPr>
          <w:sz w:val="24"/>
          <w:szCs w:val="24"/>
        </w:rPr>
      </w:pPr>
      <w:r>
        <w:rPr>
          <w:sz w:val="24"/>
          <w:szCs w:val="24"/>
        </w:rPr>
        <w:t>Did trial court err in refusing to allow two of Boykin’s witnesses to testify?</w:t>
      </w:r>
    </w:p>
    <w:p w:rsidR="00814A89" w:rsidRPr="00814A89" w:rsidRDefault="00814A89" w:rsidP="00814A89">
      <w:pPr>
        <w:pStyle w:val="ListParagraph"/>
        <w:numPr>
          <w:ilvl w:val="0"/>
          <w:numId w:val="3"/>
        </w:numPr>
        <w:spacing w:after="0"/>
        <w:rPr>
          <w:sz w:val="24"/>
          <w:szCs w:val="24"/>
        </w:rPr>
      </w:pPr>
      <w:r>
        <w:rPr>
          <w:sz w:val="24"/>
          <w:szCs w:val="24"/>
        </w:rPr>
        <w:t xml:space="preserve">Did Boykin waive her objection to PFA court’s decision </w:t>
      </w:r>
      <w:proofErr w:type="gramStart"/>
      <w:r>
        <w:rPr>
          <w:sz w:val="24"/>
          <w:szCs w:val="24"/>
        </w:rPr>
        <w:t>re.</w:t>
      </w:r>
      <w:proofErr w:type="gramEnd"/>
      <w:r>
        <w:rPr>
          <w:sz w:val="24"/>
          <w:szCs w:val="24"/>
        </w:rPr>
        <w:t xml:space="preserve"> </w:t>
      </w:r>
      <w:proofErr w:type="gramStart"/>
      <w:r>
        <w:rPr>
          <w:sz w:val="24"/>
          <w:szCs w:val="24"/>
        </w:rPr>
        <w:t>criminal</w:t>
      </w:r>
      <w:proofErr w:type="gramEnd"/>
      <w:r>
        <w:rPr>
          <w:sz w:val="24"/>
          <w:szCs w:val="24"/>
        </w:rPr>
        <w:t xml:space="preserve"> charges?</w:t>
      </w:r>
    </w:p>
    <w:p w:rsidR="0015215A" w:rsidRPr="0010547E" w:rsidRDefault="0015215A" w:rsidP="0015215A">
      <w:pPr>
        <w:spacing w:after="0"/>
        <w:rPr>
          <w:sz w:val="24"/>
          <w:szCs w:val="24"/>
        </w:rPr>
      </w:pPr>
    </w:p>
    <w:p w:rsidR="00B63287" w:rsidRDefault="00E16E68" w:rsidP="00B63287">
      <w:pPr>
        <w:spacing w:after="0"/>
        <w:rPr>
          <w:sz w:val="24"/>
          <w:szCs w:val="24"/>
        </w:rPr>
      </w:pPr>
      <w:r>
        <w:rPr>
          <w:b/>
          <w:sz w:val="24"/>
          <w:szCs w:val="24"/>
        </w:rPr>
        <w:t>Holdings:</w:t>
      </w:r>
      <w:r w:rsidR="000933B7">
        <w:rPr>
          <w:sz w:val="24"/>
          <w:szCs w:val="24"/>
        </w:rPr>
        <w:t xml:space="preserve"> </w:t>
      </w:r>
      <w:r w:rsidR="00C44E50">
        <w:rPr>
          <w:sz w:val="24"/>
          <w:szCs w:val="24"/>
        </w:rPr>
        <w:t>Trial court’s dismissal of PFA is vacated and remanded.</w:t>
      </w:r>
    </w:p>
    <w:p w:rsidR="00B63287" w:rsidRDefault="00B63287" w:rsidP="00B63287">
      <w:pPr>
        <w:spacing w:after="0"/>
        <w:rPr>
          <w:sz w:val="24"/>
          <w:szCs w:val="24"/>
        </w:rPr>
      </w:pPr>
      <w:proofErr w:type="gramStart"/>
      <w:r>
        <w:rPr>
          <w:sz w:val="24"/>
          <w:szCs w:val="24"/>
        </w:rPr>
        <w:t>Boykin’s appeal re.</w:t>
      </w:r>
      <w:proofErr w:type="gramEnd"/>
      <w:r>
        <w:rPr>
          <w:sz w:val="24"/>
          <w:szCs w:val="24"/>
        </w:rPr>
        <w:t xml:space="preserve"> </w:t>
      </w:r>
      <w:proofErr w:type="gramStart"/>
      <w:r>
        <w:rPr>
          <w:sz w:val="24"/>
          <w:szCs w:val="24"/>
        </w:rPr>
        <w:t>the</w:t>
      </w:r>
      <w:proofErr w:type="gramEnd"/>
      <w:r>
        <w:rPr>
          <w:sz w:val="24"/>
          <w:szCs w:val="24"/>
        </w:rPr>
        <w:t xml:space="preserve"> testimony of witnesses</w:t>
      </w:r>
      <w:r w:rsidR="002F4A56">
        <w:rPr>
          <w:sz w:val="24"/>
          <w:szCs w:val="24"/>
        </w:rPr>
        <w:t xml:space="preserve"> to her “excited utterances” after the incident</w:t>
      </w:r>
      <w:r>
        <w:rPr>
          <w:sz w:val="24"/>
          <w:szCs w:val="24"/>
        </w:rPr>
        <w:t xml:space="preserve"> can’t be addressed because “she did not properly preserve this argument for appeal” (IOW, she didn’t raise this argument during the trial, so </w:t>
      </w:r>
      <w:r w:rsidR="002F4A56">
        <w:rPr>
          <w:sz w:val="24"/>
          <w:szCs w:val="24"/>
        </w:rPr>
        <w:t>it can’t be appealed now – but she can raise it at the new hearing that the Sup. Court is ordering).</w:t>
      </w:r>
    </w:p>
    <w:p w:rsidR="002F4A56" w:rsidRDefault="002F4A56" w:rsidP="00B63287">
      <w:pPr>
        <w:spacing w:after="0"/>
        <w:rPr>
          <w:sz w:val="24"/>
          <w:szCs w:val="24"/>
        </w:rPr>
      </w:pPr>
    </w:p>
    <w:p w:rsidR="00E16E68" w:rsidRDefault="00E16E68" w:rsidP="00E16E68">
      <w:pPr>
        <w:rPr>
          <w:sz w:val="24"/>
          <w:szCs w:val="24"/>
        </w:rPr>
      </w:pPr>
      <w:r>
        <w:rPr>
          <w:b/>
          <w:sz w:val="24"/>
          <w:szCs w:val="24"/>
        </w:rPr>
        <w:t>Rationale:</w:t>
      </w:r>
      <w:r w:rsidR="0010547E">
        <w:rPr>
          <w:sz w:val="24"/>
          <w:szCs w:val="24"/>
        </w:rPr>
        <w:t xml:space="preserve"> </w:t>
      </w:r>
      <w:r w:rsidR="00814A89">
        <w:rPr>
          <w:sz w:val="24"/>
          <w:szCs w:val="24"/>
        </w:rPr>
        <w:t>“By allowing the PFA decision to be determined, in effect, by the DA’s office, the PFA court permitted the decision to be made based on a standard of criminal culpability.  This clearly was error.” (4)</w:t>
      </w:r>
    </w:p>
    <w:p w:rsidR="0015215A" w:rsidRPr="00C44E50" w:rsidRDefault="0015215A" w:rsidP="00E16E68">
      <w:pPr>
        <w:rPr>
          <w:sz w:val="24"/>
          <w:szCs w:val="24"/>
        </w:rPr>
      </w:pPr>
      <w:r>
        <w:rPr>
          <w:b/>
          <w:sz w:val="24"/>
          <w:szCs w:val="24"/>
        </w:rPr>
        <w:t>Trial Court Input:</w:t>
      </w:r>
      <w:r w:rsidR="00C44E50">
        <w:rPr>
          <w:sz w:val="24"/>
          <w:szCs w:val="24"/>
        </w:rPr>
        <w:t xml:space="preserve">  Trial court judge stated at hearing that he would withhold his decision until the police decided whether to file criminal charges against Brown</w:t>
      </w:r>
      <w:r w:rsidR="00814A89">
        <w:rPr>
          <w:sz w:val="24"/>
          <w:szCs w:val="24"/>
        </w:rPr>
        <w:t xml:space="preserve"> – if they did, he’d grant the PFA.  At a later hearing, DA decided not to press charges.</w:t>
      </w:r>
    </w:p>
    <w:p w:rsidR="00B63287" w:rsidRDefault="0015215A" w:rsidP="00B63287">
      <w:pPr>
        <w:spacing w:after="0"/>
        <w:rPr>
          <w:sz w:val="24"/>
          <w:szCs w:val="24"/>
        </w:rPr>
      </w:pPr>
      <w:r>
        <w:rPr>
          <w:b/>
          <w:sz w:val="24"/>
          <w:szCs w:val="24"/>
        </w:rPr>
        <w:t>Dicta:</w:t>
      </w:r>
    </w:p>
    <w:p w:rsidR="00B63287" w:rsidRDefault="00B63287" w:rsidP="00B63287">
      <w:pPr>
        <w:pStyle w:val="ListParagraph"/>
        <w:numPr>
          <w:ilvl w:val="0"/>
          <w:numId w:val="5"/>
        </w:numPr>
        <w:spacing w:after="0"/>
        <w:rPr>
          <w:sz w:val="24"/>
          <w:szCs w:val="24"/>
        </w:rPr>
      </w:pPr>
      <w:r>
        <w:rPr>
          <w:sz w:val="24"/>
          <w:szCs w:val="24"/>
        </w:rPr>
        <w:t xml:space="preserve">Second question was about whether two of Boykin’s witnesses could testify to her “excited utterances” by phone after the incident.  This is an exception to the hearsay rule.  </w:t>
      </w:r>
      <w:proofErr w:type="spellStart"/>
      <w:r>
        <w:rPr>
          <w:sz w:val="24"/>
          <w:szCs w:val="24"/>
        </w:rPr>
        <w:t>Pa.R.E</w:t>
      </w:r>
      <w:proofErr w:type="spellEnd"/>
      <w:r>
        <w:rPr>
          <w:sz w:val="24"/>
          <w:szCs w:val="24"/>
        </w:rPr>
        <w:t xml:space="preserve">. 803(2) (Rules of Evidence) “define an excited utterance as ‘a statement relating to a startling event or condition made while the </w:t>
      </w:r>
      <w:proofErr w:type="spellStart"/>
      <w:r>
        <w:rPr>
          <w:sz w:val="24"/>
          <w:szCs w:val="24"/>
        </w:rPr>
        <w:t>declarant</w:t>
      </w:r>
      <w:proofErr w:type="spellEnd"/>
      <w:r>
        <w:rPr>
          <w:sz w:val="24"/>
          <w:szCs w:val="24"/>
        </w:rPr>
        <w:t xml:space="preserve"> was under the stress of excitement caused by the event or condition.” (5)</w:t>
      </w:r>
    </w:p>
    <w:p w:rsidR="00B63287" w:rsidRDefault="00B63287" w:rsidP="00B63287">
      <w:pPr>
        <w:pStyle w:val="ListParagraph"/>
        <w:numPr>
          <w:ilvl w:val="1"/>
          <w:numId w:val="5"/>
        </w:numPr>
        <w:spacing w:after="0"/>
        <w:rPr>
          <w:sz w:val="24"/>
          <w:szCs w:val="24"/>
        </w:rPr>
      </w:pPr>
      <w:r>
        <w:rPr>
          <w:sz w:val="24"/>
          <w:szCs w:val="24"/>
        </w:rPr>
        <w:t xml:space="preserve">“The crucial question, regardless of time lapse, is whether, at the time the statement is made, the nervous excitement continues to dominate while the reflective </w:t>
      </w:r>
      <w:proofErr w:type="gramStart"/>
      <w:r>
        <w:rPr>
          <w:sz w:val="24"/>
          <w:szCs w:val="24"/>
        </w:rPr>
        <w:t>process remain</w:t>
      </w:r>
      <w:proofErr w:type="gramEnd"/>
      <w:r>
        <w:rPr>
          <w:sz w:val="24"/>
          <w:szCs w:val="24"/>
        </w:rPr>
        <w:t xml:space="preserve"> in abeyance.” (quoting </w:t>
      </w:r>
      <w:r>
        <w:rPr>
          <w:i/>
          <w:sz w:val="24"/>
          <w:szCs w:val="24"/>
        </w:rPr>
        <w:t>Commonwealth v. Gore</w:t>
      </w:r>
      <w:r>
        <w:rPr>
          <w:sz w:val="24"/>
          <w:szCs w:val="24"/>
        </w:rPr>
        <w:t>, 1978)</w:t>
      </w:r>
    </w:p>
    <w:p w:rsidR="00B63287" w:rsidRPr="00B63287" w:rsidRDefault="00B63287" w:rsidP="00B63287">
      <w:pPr>
        <w:pStyle w:val="ListParagraph"/>
        <w:numPr>
          <w:ilvl w:val="1"/>
          <w:numId w:val="5"/>
        </w:numPr>
        <w:spacing w:after="0"/>
        <w:rPr>
          <w:sz w:val="24"/>
          <w:szCs w:val="24"/>
        </w:rPr>
      </w:pPr>
      <w:r>
        <w:rPr>
          <w:sz w:val="24"/>
          <w:szCs w:val="24"/>
        </w:rPr>
        <w:lastRenderedPageBreak/>
        <w:t xml:space="preserve">“Questions concerning the admission or exclusion of evidence are within the sound discretion of the trial court and may be reversed on appeal only when a clear abuse of discretion was present.” (quoting </w:t>
      </w:r>
      <w:r>
        <w:rPr>
          <w:i/>
          <w:sz w:val="24"/>
          <w:szCs w:val="24"/>
        </w:rPr>
        <w:t>Miller</w:t>
      </w:r>
      <w:r>
        <w:rPr>
          <w:sz w:val="24"/>
          <w:szCs w:val="24"/>
        </w:rPr>
        <w:t>)</w:t>
      </w:r>
    </w:p>
    <w:p w:rsidR="0015215A" w:rsidRDefault="0015215A" w:rsidP="0010547E">
      <w:pPr>
        <w:spacing w:after="0"/>
        <w:rPr>
          <w:b/>
          <w:sz w:val="24"/>
          <w:szCs w:val="24"/>
        </w:rPr>
      </w:pPr>
    </w:p>
    <w:p w:rsidR="00E16E68" w:rsidRDefault="00E16E68" w:rsidP="0010547E">
      <w:pPr>
        <w:spacing w:after="0"/>
        <w:rPr>
          <w:sz w:val="24"/>
          <w:szCs w:val="24"/>
        </w:rPr>
      </w:pPr>
      <w:r>
        <w:rPr>
          <w:b/>
          <w:sz w:val="24"/>
          <w:szCs w:val="24"/>
        </w:rPr>
        <w:t>Attorneys’ Arguments:</w:t>
      </w:r>
      <w:r w:rsidR="00814A89">
        <w:rPr>
          <w:sz w:val="24"/>
          <w:szCs w:val="24"/>
        </w:rPr>
        <w:t xml:space="preserve"> </w:t>
      </w:r>
    </w:p>
    <w:p w:rsidR="00814A89" w:rsidRPr="00814A89" w:rsidRDefault="00814A89" w:rsidP="0010547E">
      <w:pPr>
        <w:spacing w:after="0"/>
        <w:rPr>
          <w:sz w:val="24"/>
          <w:szCs w:val="24"/>
        </w:rPr>
      </w:pPr>
      <w:r>
        <w:rPr>
          <w:sz w:val="24"/>
          <w:szCs w:val="24"/>
        </w:rPr>
        <w:t>For Boykin:  PFA court held her to a standard of proof commensurate with proving criminal activity – she would have had to convince police that a rape had occurred.  But PFA trial requires only “preponderance of the evidence.”</w:t>
      </w:r>
    </w:p>
    <w:p w:rsidR="006A18CC" w:rsidRPr="0010547E" w:rsidRDefault="006A18CC" w:rsidP="006A18CC">
      <w:pPr>
        <w:pStyle w:val="ListParagraph"/>
        <w:spacing w:after="0"/>
        <w:rPr>
          <w:sz w:val="24"/>
          <w:szCs w:val="24"/>
        </w:rPr>
      </w:pPr>
    </w:p>
    <w:p w:rsidR="00E16E68" w:rsidRDefault="00E16E68" w:rsidP="0010547E">
      <w:pPr>
        <w:spacing w:after="0"/>
        <w:rPr>
          <w:sz w:val="24"/>
          <w:szCs w:val="24"/>
        </w:rPr>
      </w:pPr>
      <w:r>
        <w:rPr>
          <w:b/>
          <w:sz w:val="24"/>
          <w:szCs w:val="24"/>
        </w:rPr>
        <w:t>Appeals</w:t>
      </w:r>
      <w:r w:rsidR="00A56A0E">
        <w:rPr>
          <w:b/>
          <w:sz w:val="24"/>
          <w:szCs w:val="24"/>
        </w:rPr>
        <w:t xml:space="preserve"> to Statute &amp; Precedent</w:t>
      </w:r>
      <w:r>
        <w:rPr>
          <w:b/>
          <w:sz w:val="24"/>
          <w:szCs w:val="24"/>
        </w:rPr>
        <w:t>:</w:t>
      </w:r>
    </w:p>
    <w:p w:rsidR="00814A89" w:rsidRDefault="00814A89" w:rsidP="00814A89">
      <w:pPr>
        <w:pStyle w:val="ListParagraph"/>
        <w:numPr>
          <w:ilvl w:val="0"/>
          <w:numId w:val="4"/>
        </w:numPr>
        <w:spacing w:after="0"/>
        <w:rPr>
          <w:sz w:val="24"/>
          <w:szCs w:val="24"/>
        </w:rPr>
      </w:pPr>
      <w:r>
        <w:rPr>
          <w:b/>
          <w:i/>
          <w:sz w:val="24"/>
          <w:szCs w:val="24"/>
        </w:rPr>
        <w:t>Snyder v. Snyder</w:t>
      </w:r>
      <w:r>
        <w:rPr>
          <w:sz w:val="24"/>
          <w:szCs w:val="24"/>
        </w:rPr>
        <w:t xml:space="preserve"> (1993) – preponderance of the evidence; PFA Act does not seek to determine criminal culpability.</w:t>
      </w:r>
    </w:p>
    <w:p w:rsidR="00814A89" w:rsidRPr="00814A89" w:rsidRDefault="00814A89" w:rsidP="00814A89">
      <w:pPr>
        <w:pStyle w:val="ListParagraph"/>
        <w:numPr>
          <w:ilvl w:val="0"/>
          <w:numId w:val="4"/>
        </w:numPr>
        <w:spacing w:after="0"/>
        <w:rPr>
          <w:sz w:val="24"/>
          <w:szCs w:val="24"/>
        </w:rPr>
      </w:pPr>
      <w:r>
        <w:rPr>
          <w:b/>
          <w:i/>
          <w:sz w:val="24"/>
          <w:szCs w:val="24"/>
        </w:rPr>
        <w:t>Miller v. Walker</w:t>
      </w:r>
      <w:r>
        <w:rPr>
          <w:i/>
          <w:sz w:val="24"/>
          <w:szCs w:val="24"/>
        </w:rPr>
        <w:t xml:space="preserve"> </w:t>
      </w:r>
      <w:r>
        <w:rPr>
          <w:sz w:val="24"/>
          <w:szCs w:val="24"/>
        </w:rPr>
        <w:t xml:space="preserve">(1995) </w:t>
      </w:r>
      <w:r w:rsidR="00B63287">
        <w:rPr>
          <w:sz w:val="24"/>
          <w:szCs w:val="24"/>
        </w:rPr>
        <w:t>–</w:t>
      </w:r>
      <w:r>
        <w:rPr>
          <w:sz w:val="24"/>
          <w:szCs w:val="24"/>
        </w:rPr>
        <w:t xml:space="preserve"> </w:t>
      </w:r>
      <w:r w:rsidR="00B63287">
        <w:rPr>
          <w:sz w:val="24"/>
          <w:szCs w:val="24"/>
        </w:rPr>
        <w:t>conduct did not rise to level of criminal culpability, but PFA was still appropriate.</w:t>
      </w:r>
    </w:p>
    <w:p w:rsidR="0015215A" w:rsidRDefault="0015215A" w:rsidP="0010547E">
      <w:pPr>
        <w:spacing w:after="0"/>
        <w:rPr>
          <w:b/>
          <w:sz w:val="24"/>
          <w:szCs w:val="24"/>
        </w:rPr>
      </w:pPr>
    </w:p>
    <w:sectPr w:rsidR="0015215A" w:rsidSect="00E16E68">
      <w:headerReference w:type="default" r:id="rId7"/>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6024C" w:rsidRDefault="0086024C" w:rsidP="00E16E68">
      <w:pPr>
        <w:spacing w:after="0" w:line="240" w:lineRule="auto"/>
      </w:pPr>
      <w:r>
        <w:separator/>
      </w:r>
    </w:p>
  </w:endnote>
  <w:endnote w:type="continuationSeparator" w:id="0">
    <w:p w:rsidR="0086024C" w:rsidRDefault="0086024C" w:rsidP="00E16E6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6024C" w:rsidRDefault="0086024C" w:rsidP="00E16E68">
      <w:pPr>
        <w:spacing w:after="0" w:line="240" w:lineRule="auto"/>
      </w:pPr>
      <w:r>
        <w:separator/>
      </w:r>
    </w:p>
  </w:footnote>
  <w:footnote w:type="continuationSeparator" w:id="0">
    <w:p w:rsidR="0086024C" w:rsidRDefault="0086024C" w:rsidP="00E16E6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6E68" w:rsidRDefault="0016476D" w:rsidP="000933B7">
    <w:pPr>
      <w:pStyle w:val="Header"/>
      <w:jc w:val="right"/>
    </w:pPr>
    <w:r>
      <w:t>PA Superior Court</w:t>
    </w:r>
    <w:r w:rsidR="00E16E68">
      <w:tab/>
    </w:r>
    <w:r w:rsidR="00C44E50">
      <w:t>2005</w:t>
    </w:r>
    <w:r w:rsidR="00E16E68">
      <w:tab/>
    </w:r>
    <w:r w:rsidR="00C44E50">
      <w:t>Boykin v. Brown</w:t>
    </w:r>
  </w:p>
  <w:p w:rsidR="00F95A0E" w:rsidRDefault="00F95A0E" w:rsidP="00F95A0E">
    <w:pPr>
      <w:pStyle w:val="Header"/>
      <w:jc w:val="right"/>
    </w:pPr>
    <w:r>
      <w:tab/>
    </w:r>
    <w:r>
      <w:tab/>
    </w:r>
    <w:r w:rsidR="002F4A56">
      <w:t>CRIMINALITY</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520471"/>
    <w:multiLevelType w:val="hybridMultilevel"/>
    <w:tmpl w:val="6BCCCF6E"/>
    <w:lvl w:ilvl="0" w:tplc="376EC822">
      <w:start w:val="1"/>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35D7FB2"/>
    <w:multiLevelType w:val="hybridMultilevel"/>
    <w:tmpl w:val="8CCCE6E0"/>
    <w:lvl w:ilvl="0" w:tplc="58D66CF0">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63F77F5"/>
    <w:multiLevelType w:val="hybridMultilevel"/>
    <w:tmpl w:val="7676040C"/>
    <w:lvl w:ilvl="0" w:tplc="AA8E7748">
      <w:start w:val="1"/>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8C51131"/>
    <w:multiLevelType w:val="hybridMultilevel"/>
    <w:tmpl w:val="02E8E788"/>
    <w:lvl w:ilvl="0" w:tplc="A4803EA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B1B2B84"/>
    <w:multiLevelType w:val="hybridMultilevel"/>
    <w:tmpl w:val="C696E766"/>
    <w:lvl w:ilvl="0" w:tplc="04A81F5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0"/>
  </w:num>
  <w:num w:numId="3">
    <w:abstractNumId w:val="3"/>
  </w:num>
  <w:num w:numId="4">
    <w:abstractNumId w:val="1"/>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E16E68"/>
    <w:rsid w:val="000933B7"/>
    <w:rsid w:val="0010547E"/>
    <w:rsid w:val="00144D3B"/>
    <w:rsid w:val="0015215A"/>
    <w:rsid w:val="0016476D"/>
    <w:rsid w:val="002F4A56"/>
    <w:rsid w:val="005F2C53"/>
    <w:rsid w:val="00692188"/>
    <w:rsid w:val="006A18CC"/>
    <w:rsid w:val="007B337C"/>
    <w:rsid w:val="00814A89"/>
    <w:rsid w:val="0086024C"/>
    <w:rsid w:val="009645CA"/>
    <w:rsid w:val="00A41926"/>
    <w:rsid w:val="00A56A0E"/>
    <w:rsid w:val="00AA40E8"/>
    <w:rsid w:val="00B63287"/>
    <w:rsid w:val="00C44E50"/>
    <w:rsid w:val="00C5621B"/>
    <w:rsid w:val="00E16E68"/>
    <w:rsid w:val="00F954BD"/>
    <w:rsid w:val="00F95A0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4D3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E16E6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16E68"/>
  </w:style>
  <w:style w:type="paragraph" w:styleId="Footer">
    <w:name w:val="footer"/>
    <w:basedOn w:val="Normal"/>
    <w:link w:val="FooterChar"/>
    <w:uiPriority w:val="99"/>
    <w:semiHidden/>
    <w:unhideWhenUsed/>
    <w:rsid w:val="00E16E68"/>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16E68"/>
  </w:style>
  <w:style w:type="paragraph" w:styleId="BalloonText">
    <w:name w:val="Balloon Text"/>
    <w:basedOn w:val="Normal"/>
    <w:link w:val="BalloonTextChar"/>
    <w:uiPriority w:val="99"/>
    <w:semiHidden/>
    <w:unhideWhenUsed/>
    <w:rsid w:val="00E16E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6E68"/>
    <w:rPr>
      <w:rFonts w:ascii="Tahoma" w:hAnsi="Tahoma" w:cs="Tahoma"/>
      <w:sz w:val="16"/>
      <w:szCs w:val="16"/>
    </w:rPr>
  </w:style>
  <w:style w:type="paragraph" w:styleId="ListParagraph">
    <w:name w:val="List Paragraph"/>
    <w:basedOn w:val="Normal"/>
    <w:uiPriority w:val="34"/>
    <w:qFormat/>
    <w:rsid w:val="0010547E"/>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460</Words>
  <Characters>2622</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3076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cp:lastModifiedBy>
  <cp:revision>2</cp:revision>
  <cp:lastPrinted>2016-10-19T14:31:00Z</cp:lastPrinted>
  <dcterms:created xsi:type="dcterms:W3CDTF">2016-10-19T15:07:00Z</dcterms:created>
  <dcterms:modified xsi:type="dcterms:W3CDTF">2016-10-19T15:07:00Z</dcterms:modified>
</cp:coreProperties>
</file>