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3300B6" w:rsidRDefault="00E16E68" w:rsidP="00E16E68">
      <w:pPr>
        <w:rPr>
          <w:sz w:val="24"/>
          <w:szCs w:val="24"/>
        </w:rPr>
      </w:pPr>
      <w:r>
        <w:rPr>
          <w:b/>
          <w:sz w:val="24"/>
          <w:szCs w:val="24"/>
        </w:rPr>
        <w:t>Case:</w:t>
      </w:r>
      <w:r w:rsidR="003300B6">
        <w:rPr>
          <w:sz w:val="24"/>
          <w:szCs w:val="24"/>
        </w:rPr>
        <w:t xml:space="preserve"> PATRICIA BUCHHALTER v. </w:t>
      </w:r>
      <w:r w:rsidR="003300B6">
        <w:t>STEVEN BUCHHALTER</w:t>
      </w:r>
    </w:p>
    <w:p w:rsidR="00E16E68" w:rsidRPr="00AA71C6" w:rsidRDefault="00E16E68" w:rsidP="00E16E68">
      <w:pPr>
        <w:rPr>
          <w:sz w:val="24"/>
          <w:szCs w:val="24"/>
        </w:rPr>
      </w:pPr>
      <w:r>
        <w:rPr>
          <w:b/>
          <w:sz w:val="24"/>
          <w:szCs w:val="24"/>
        </w:rPr>
        <w:t>Judge:</w:t>
      </w:r>
      <w:r>
        <w:rPr>
          <w:b/>
          <w:sz w:val="24"/>
          <w:szCs w:val="24"/>
        </w:rPr>
        <w:tab/>
      </w:r>
      <w:r w:rsidR="00AA71C6">
        <w:rPr>
          <w:sz w:val="24"/>
          <w:szCs w:val="24"/>
        </w:rPr>
        <w:t>J. Bender</w:t>
      </w:r>
      <w:r>
        <w:rPr>
          <w:b/>
          <w:sz w:val="24"/>
          <w:szCs w:val="24"/>
        </w:rPr>
        <w:tab/>
      </w:r>
      <w:r>
        <w:rPr>
          <w:b/>
          <w:sz w:val="24"/>
          <w:szCs w:val="24"/>
        </w:rPr>
        <w:tab/>
      </w:r>
      <w:r>
        <w:rPr>
          <w:b/>
          <w:sz w:val="24"/>
          <w:szCs w:val="24"/>
        </w:rPr>
        <w:tab/>
      </w:r>
      <w:r>
        <w:rPr>
          <w:b/>
          <w:sz w:val="24"/>
          <w:szCs w:val="24"/>
        </w:rPr>
        <w:tab/>
        <w:t>Date:</w:t>
      </w:r>
      <w:r w:rsidR="00AA71C6">
        <w:rPr>
          <w:sz w:val="24"/>
          <w:szCs w:val="24"/>
        </w:rPr>
        <w:t xml:space="preserve"> Oct. 27, 2008</w:t>
      </w:r>
    </w:p>
    <w:p w:rsidR="00E16E68" w:rsidRPr="00AA71C6" w:rsidRDefault="00E16E68" w:rsidP="00E16E68">
      <w:pPr>
        <w:rPr>
          <w:sz w:val="24"/>
          <w:szCs w:val="24"/>
        </w:rPr>
      </w:pPr>
      <w:r>
        <w:rPr>
          <w:b/>
          <w:sz w:val="24"/>
          <w:szCs w:val="24"/>
        </w:rPr>
        <w:t>Tags:</w:t>
      </w:r>
      <w:r w:rsidR="00AA71C6">
        <w:rPr>
          <w:sz w:val="24"/>
          <w:szCs w:val="24"/>
        </w:rPr>
        <w:t xml:space="preserve"> Prior abuse, PFA, reasonable fear</w:t>
      </w:r>
    </w:p>
    <w:p w:rsidR="00E16E68" w:rsidRPr="00AA71C6" w:rsidRDefault="00E16E68" w:rsidP="00E16E68">
      <w:pPr>
        <w:rPr>
          <w:sz w:val="24"/>
          <w:szCs w:val="24"/>
        </w:rPr>
      </w:pPr>
      <w:r>
        <w:rPr>
          <w:b/>
          <w:sz w:val="24"/>
          <w:szCs w:val="24"/>
        </w:rPr>
        <w:t>Facts:</w:t>
      </w:r>
      <w:r w:rsidR="00AA71C6">
        <w:rPr>
          <w:sz w:val="24"/>
          <w:szCs w:val="24"/>
        </w:rPr>
        <w:t xml:space="preserve"> Altercations between exes result in PFA hearing; trial court dismisses PFA petition</w:t>
      </w:r>
      <w:r w:rsidR="00202604">
        <w:rPr>
          <w:sz w:val="24"/>
          <w:szCs w:val="24"/>
        </w:rPr>
        <w:t xml:space="preserve"> because witness is not deemed credible</w:t>
      </w:r>
      <w:r w:rsidR="00AA71C6">
        <w:rPr>
          <w:sz w:val="24"/>
          <w:szCs w:val="24"/>
        </w:rPr>
        <w:t>.</w:t>
      </w:r>
    </w:p>
    <w:p w:rsidR="00E16E68" w:rsidRPr="00AA71C6" w:rsidRDefault="00E16E68" w:rsidP="00E16E68">
      <w:pPr>
        <w:rPr>
          <w:sz w:val="24"/>
          <w:szCs w:val="24"/>
        </w:rPr>
      </w:pPr>
      <w:r>
        <w:rPr>
          <w:b/>
          <w:sz w:val="24"/>
          <w:szCs w:val="24"/>
        </w:rPr>
        <w:t>Gravamen/Question(s) at issue:</w:t>
      </w:r>
      <w:r w:rsidR="00AA71C6">
        <w:rPr>
          <w:sz w:val="24"/>
          <w:szCs w:val="24"/>
        </w:rPr>
        <w:t xml:space="preserve">  Did trial court err in refusing to consider plaintiff’s testimony of prior abuse as basis for reasonable fear of subsequent abuse?</w:t>
      </w:r>
    </w:p>
    <w:p w:rsidR="00E16E68" w:rsidRPr="00BB5311" w:rsidRDefault="00E16E68" w:rsidP="00E16E68">
      <w:pPr>
        <w:rPr>
          <w:sz w:val="24"/>
          <w:szCs w:val="24"/>
        </w:rPr>
      </w:pPr>
      <w:r>
        <w:rPr>
          <w:b/>
          <w:sz w:val="24"/>
          <w:szCs w:val="24"/>
        </w:rPr>
        <w:t>Holdings:</w:t>
      </w:r>
      <w:r w:rsidR="00BB5311">
        <w:rPr>
          <w:sz w:val="24"/>
          <w:szCs w:val="24"/>
        </w:rPr>
        <w:t xml:space="preserve"> Trial court should have admitted evidence of past abuse as basis for reasonable cause for fear.  Verdict vacated and remanded.</w:t>
      </w:r>
    </w:p>
    <w:p w:rsidR="00E16E68" w:rsidRPr="00BB5311" w:rsidRDefault="00E16E68" w:rsidP="00E16E68">
      <w:pPr>
        <w:rPr>
          <w:sz w:val="24"/>
          <w:szCs w:val="24"/>
        </w:rPr>
      </w:pPr>
      <w:r>
        <w:rPr>
          <w:b/>
          <w:sz w:val="24"/>
          <w:szCs w:val="24"/>
        </w:rPr>
        <w:t>Rationale:</w:t>
      </w:r>
      <w:r w:rsidR="00BB5311">
        <w:rPr>
          <w:sz w:val="24"/>
          <w:szCs w:val="24"/>
        </w:rPr>
        <w:t xml:space="preserve"> “</w:t>
      </w:r>
      <w:r w:rsidR="00BB5311">
        <w:t>While we recognize that the court as the finder of fact is entitled to weigh evidence and assess credibility, it was the court’s duty to determine whether Patricia was in reasonable fear of imminent serious bodily injury.” (7)</w:t>
      </w:r>
    </w:p>
    <w:p w:rsidR="00E16E68" w:rsidRDefault="00E16E68" w:rsidP="00BB5311">
      <w:pPr>
        <w:spacing w:after="0"/>
      </w:pPr>
      <w:r>
        <w:rPr>
          <w:b/>
          <w:sz w:val="24"/>
          <w:szCs w:val="24"/>
        </w:rPr>
        <w:t>Dicta:</w:t>
      </w:r>
      <w:r w:rsidR="00BB5311">
        <w:rPr>
          <w:sz w:val="24"/>
          <w:szCs w:val="24"/>
        </w:rPr>
        <w:t xml:space="preserve"> </w:t>
      </w:r>
    </w:p>
    <w:p w:rsidR="00BB5311" w:rsidRDefault="00BB5311" w:rsidP="00BB5311">
      <w:pPr>
        <w:spacing w:after="0"/>
      </w:pPr>
      <w:r>
        <w:t>“</w:t>
      </w:r>
      <w:proofErr w:type="gramStart"/>
      <w:r>
        <w:t>merely</w:t>
      </w:r>
      <w:proofErr w:type="gramEnd"/>
      <w:r>
        <w:t xml:space="preserve"> determining that a party is not credible is not a basis in itself to exclude relevant testimony.”</w:t>
      </w:r>
    </w:p>
    <w:p w:rsidR="00BB5311" w:rsidRPr="00BB5311" w:rsidRDefault="00BB5311" w:rsidP="00BB5311">
      <w:pPr>
        <w:spacing w:after="0"/>
        <w:rPr>
          <w:sz w:val="24"/>
          <w:szCs w:val="24"/>
        </w:rPr>
      </w:pPr>
    </w:p>
    <w:p w:rsidR="00202604" w:rsidRDefault="00202604" w:rsidP="00AA71C6">
      <w:pPr>
        <w:spacing w:after="0"/>
        <w:rPr>
          <w:b/>
          <w:sz w:val="24"/>
          <w:szCs w:val="24"/>
        </w:rPr>
      </w:pPr>
      <w:r>
        <w:rPr>
          <w:b/>
          <w:sz w:val="24"/>
          <w:szCs w:val="24"/>
        </w:rPr>
        <w:t>Trial Court Input:</w:t>
      </w:r>
    </w:p>
    <w:p w:rsidR="00202604" w:rsidRPr="00202604" w:rsidRDefault="00202604" w:rsidP="00202604">
      <w:pPr>
        <w:pStyle w:val="ListParagraph"/>
        <w:numPr>
          <w:ilvl w:val="0"/>
          <w:numId w:val="3"/>
        </w:numPr>
        <w:spacing w:after="0"/>
        <w:rPr>
          <w:b/>
          <w:sz w:val="24"/>
          <w:szCs w:val="24"/>
        </w:rPr>
      </w:pPr>
      <w:r>
        <w:rPr>
          <w:sz w:val="24"/>
          <w:szCs w:val="24"/>
        </w:rPr>
        <w:t>“</w:t>
      </w:r>
      <w:r>
        <w:t>Evidence of prior bad acts is generally inadmissible; however, in PFA cases, past abuse may be admissible for the purpose of showing the petitioner’s state of mind as to whether he or she has a reasonable fear of abuse by the respondent.”</w:t>
      </w:r>
    </w:p>
    <w:p w:rsidR="00202604" w:rsidRPr="00202604" w:rsidRDefault="00202604" w:rsidP="00202604">
      <w:pPr>
        <w:pStyle w:val="ListParagraph"/>
        <w:numPr>
          <w:ilvl w:val="0"/>
          <w:numId w:val="3"/>
        </w:numPr>
        <w:spacing w:after="0"/>
        <w:rPr>
          <w:b/>
          <w:sz w:val="24"/>
          <w:szCs w:val="24"/>
        </w:rPr>
      </w:pPr>
      <w:r>
        <w:t>“In essence, the trial court reasons that if Patricia is not believed as to the allegations in the present petition, then there is no need to hear testimony about prior abuse.”  (IOW, there’s really no new incident to grant a PFA order for, since she’s not a credible witness.)</w:t>
      </w:r>
    </w:p>
    <w:p w:rsidR="00202604" w:rsidRPr="00202604" w:rsidRDefault="00202604" w:rsidP="00202604">
      <w:pPr>
        <w:pStyle w:val="ListParagraph"/>
        <w:spacing w:after="0"/>
        <w:rPr>
          <w:b/>
          <w:sz w:val="24"/>
          <w:szCs w:val="24"/>
        </w:rPr>
      </w:pPr>
    </w:p>
    <w:p w:rsidR="00E16E68" w:rsidRDefault="00E16E68" w:rsidP="00AA71C6">
      <w:pPr>
        <w:spacing w:after="0"/>
        <w:rPr>
          <w:b/>
          <w:sz w:val="24"/>
          <w:szCs w:val="24"/>
        </w:rPr>
      </w:pPr>
      <w:r>
        <w:rPr>
          <w:b/>
          <w:sz w:val="24"/>
          <w:szCs w:val="24"/>
        </w:rPr>
        <w:t>Appeals</w:t>
      </w:r>
      <w:r w:rsidR="00AA71C6">
        <w:rPr>
          <w:b/>
          <w:sz w:val="24"/>
          <w:szCs w:val="24"/>
        </w:rPr>
        <w:t xml:space="preserve"> to</w:t>
      </w:r>
      <w:r w:rsidR="00202604">
        <w:rPr>
          <w:b/>
          <w:sz w:val="24"/>
          <w:szCs w:val="24"/>
        </w:rPr>
        <w:t xml:space="preserve"> Statute &amp;</w:t>
      </w:r>
      <w:r w:rsidR="00AA71C6">
        <w:rPr>
          <w:b/>
          <w:sz w:val="24"/>
          <w:szCs w:val="24"/>
        </w:rPr>
        <w:t xml:space="preserve"> </w:t>
      </w:r>
      <w:r w:rsidR="00202604">
        <w:rPr>
          <w:b/>
          <w:sz w:val="24"/>
          <w:szCs w:val="24"/>
        </w:rPr>
        <w:t>Precedent</w:t>
      </w:r>
      <w:r>
        <w:rPr>
          <w:b/>
          <w:sz w:val="24"/>
          <w:szCs w:val="24"/>
        </w:rPr>
        <w:t>:</w:t>
      </w:r>
    </w:p>
    <w:p w:rsidR="00AA71C6" w:rsidRPr="00AA71C6" w:rsidRDefault="00AA71C6" w:rsidP="00AA71C6">
      <w:pPr>
        <w:pStyle w:val="ListParagraph"/>
        <w:numPr>
          <w:ilvl w:val="0"/>
          <w:numId w:val="1"/>
        </w:numPr>
        <w:rPr>
          <w:b/>
          <w:sz w:val="24"/>
          <w:szCs w:val="24"/>
        </w:rPr>
      </w:pPr>
      <w:r>
        <w:rPr>
          <w:sz w:val="24"/>
          <w:szCs w:val="24"/>
        </w:rPr>
        <w:t>Custer v. Cochran, 2007</w:t>
      </w:r>
    </w:p>
    <w:p w:rsidR="00AA71C6" w:rsidRPr="00BB5311" w:rsidRDefault="00AA71C6" w:rsidP="00AA71C6">
      <w:pPr>
        <w:pStyle w:val="ListParagraph"/>
        <w:numPr>
          <w:ilvl w:val="0"/>
          <w:numId w:val="1"/>
        </w:numPr>
        <w:rPr>
          <w:b/>
          <w:sz w:val="24"/>
          <w:szCs w:val="24"/>
        </w:rPr>
      </w:pPr>
      <w:r>
        <w:rPr>
          <w:sz w:val="24"/>
          <w:szCs w:val="24"/>
        </w:rPr>
        <w:t xml:space="preserve">Lawrence v. </w:t>
      </w:r>
      <w:proofErr w:type="spellStart"/>
      <w:r>
        <w:rPr>
          <w:sz w:val="24"/>
          <w:szCs w:val="24"/>
        </w:rPr>
        <w:t>Bordner</w:t>
      </w:r>
      <w:proofErr w:type="spellEnd"/>
      <w:r>
        <w:rPr>
          <w:sz w:val="24"/>
          <w:szCs w:val="24"/>
        </w:rPr>
        <w:t>, 2006</w:t>
      </w:r>
    </w:p>
    <w:p w:rsidR="00BB5311" w:rsidRPr="00202604" w:rsidRDefault="00BB5311" w:rsidP="00AA71C6">
      <w:pPr>
        <w:pStyle w:val="ListParagraph"/>
        <w:numPr>
          <w:ilvl w:val="0"/>
          <w:numId w:val="1"/>
        </w:numPr>
        <w:rPr>
          <w:b/>
          <w:sz w:val="24"/>
          <w:szCs w:val="24"/>
        </w:rPr>
      </w:pPr>
      <w:proofErr w:type="spellStart"/>
      <w:r>
        <w:rPr>
          <w:sz w:val="24"/>
          <w:szCs w:val="24"/>
        </w:rPr>
        <w:t>Raker</w:t>
      </w:r>
      <w:proofErr w:type="spellEnd"/>
      <w:r>
        <w:rPr>
          <w:sz w:val="24"/>
          <w:szCs w:val="24"/>
        </w:rPr>
        <w:t xml:space="preserve"> v. </w:t>
      </w:r>
      <w:proofErr w:type="spellStart"/>
      <w:r>
        <w:rPr>
          <w:sz w:val="24"/>
          <w:szCs w:val="24"/>
        </w:rPr>
        <w:t>Raker</w:t>
      </w:r>
      <w:proofErr w:type="spellEnd"/>
      <w:r>
        <w:rPr>
          <w:sz w:val="24"/>
          <w:szCs w:val="24"/>
        </w:rPr>
        <w:t>, 2004</w:t>
      </w:r>
    </w:p>
    <w:p w:rsidR="00202604" w:rsidRPr="00AA71C6" w:rsidRDefault="00202604" w:rsidP="00AA71C6">
      <w:pPr>
        <w:pStyle w:val="ListParagraph"/>
        <w:numPr>
          <w:ilvl w:val="0"/>
          <w:numId w:val="1"/>
        </w:numPr>
        <w:rPr>
          <w:b/>
          <w:sz w:val="24"/>
          <w:szCs w:val="24"/>
        </w:rPr>
      </w:pPr>
      <w:r>
        <w:rPr>
          <w:sz w:val="24"/>
          <w:szCs w:val="24"/>
        </w:rPr>
        <w:t xml:space="preserve">PFA Act -- </w:t>
      </w:r>
      <w:r>
        <w:t xml:space="preserve">the PFA Act provides that “any protection order granted may be considered in any subsequent proceedings.” </w:t>
      </w:r>
      <w:proofErr w:type="gramStart"/>
      <w:r>
        <w:t xml:space="preserve">23 </w:t>
      </w:r>
      <w:proofErr w:type="spellStart"/>
      <w:r>
        <w:t>Pa.C.S</w:t>
      </w:r>
      <w:proofErr w:type="spellEnd"/>
      <w:r>
        <w:t>.</w:t>
      </w:r>
      <w:proofErr w:type="gramEnd"/>
      <w:r>
        <w:t xml:space="preserve"> § 6107(a).</w:t>
      </w:r>
    </w:p>
    <w:p w:rsidR="00E16E68" w:rsidRDefault="00E16E68" w:rsidP="00BC40B4">
      <w:pPr>
        <w:spacing w:after="0"/>
        <w:rPr>
          <w:b/>
          <w:sz w:val="24"/>
          <w:szCs w:val="24"/>
        </w:rPr>
      </w:pPr>
      <w:r>
        <w:rPr>
          <w:b/>
          <w:sz w:val="24"/>
          <w:szCs w:val="24"/>
        </w:rPr>
        <w:t>Commentary:</w:t>
      </w:r>
    </w:p>
    <w:p w:rsidR="00E16E68" w:rsidRPr="00BC40B4" w:rsidRDefault="00BC40B4" w:rsidP="00E16E68">
      <w:pPr>
        <w:rPr>
          <w:sz w:val="24"/>
          <w:szCs w:val="24"/>
        </w:rPr>
      </w:pPr>
      <w:r>
        <w:rPr>
          <w:sz w:val="24"/>
          <w:szCs w:val="24"/>
        </w:rPr>
        <w:t xml:space="preserve"> This one got vacated and remanded, but it’s doubtful whether the verdict would change even after testimony about past abuse, since the plaintiff didn’t seem to have the story straight between her and her son.</w:t>
      </w:r>
    </w:p>
    <w:sectPr w:rsidR="00E16E68" w:rsidRPr="00BC40B4"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236A" w:rsidRDefault="004B236A" w:rsidP="00E16E68">
      <w:pPr>
        <w:spacing w:after="0" w:line="240" w:lineRule="auto"/>
      </w:pPr>
      <w:r>
        <w:separator/>
      </w:r>
    </w:p>
  </w:endnote>
  <w:endnote w:type="continuationSeparator" w:id="0">
    <w:p w:rsidR="004B236A" w:rsidRDefault="004B236A"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236A" w:rsidRDefault="004B236A" w:rsidP="00E16E68">
      <w:pPr>
        <w:spacing w:after="0" w:line="240" w:lineRule="auto"/>
      </w:pPr>
      <w:r>
        <w:separator/>
      </w:r>
    </w:p>
  </w:footnote>
  <w:footnote w:type="continuationSeparator" w:id="0">
    <w:p w:rsidR="004B236A" w:rsidRDefault="004B236A"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3300B6">
    <w:pPr>
      <w:pStyle w:val="Header"/>
      <w:jc w:val="right"/>
    </w:pPr>
    <w:r>
      <w:t>PA Superior Court</w:t>
    </w:r>
    <w:r w:rsidR="003300B6">
      <w:tab/>
      <w:t>2008</w:t>
    </w:r>
    <w:r w:rsidR="003300B6">
      <w:tab/>
    </w:r>
    <w:proofErr w:type="spellStart"/>
    <w:r w:rsidR="003300B6">
      <w:t>Buchalter</w:t>
    </w:r>
    <w:proofErr w:type="spellEnd"/>
    <w:r w:rsidR="003300B6">
      <w:t xml:space="preserve"> v. </w:t>
    </w:r>
    <w:proofErr w:type="spellStart"/>
    <w:r w:rsidR="003300B6">
      <w:t>Buchalter</w:t>
    </w:r>
    <w:proofErr w:type="spellEnd"/>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2D3555"/>
    <w:multiLevelType w:val="hybridMultilevel"/>
    <w:tmpl w:val="4E56A194"/>
    <w:lvl w:ilvl="0" w:tplc="75D8688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2AF0E29"/>
    <w:multiLevelType w:val="hybridMultilevel"/>
    <w:tmpl w:val="3F924F9C"/>
    <w:lvl w:ilvl="0" w:tplc="EE20F72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829045D"/>
    <w:multiLevelType w:val="hybridMultilevel"/>
    <w:tmpl w:val="76340B48"/>
    <w:lvl w:ilvl="0" w:tplc="78583D5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144D3B"/>
    <w:rsid w:val="0016476D"/>
    <w:rsid w:val="001B700B"/>
    <w:rsid w:val="00202604"/>
    <w:rsid w:val="003300B6"/>
    <w:rsid w:val="004B236A"/>
    <w:rsid w:val="009548F4"/>
    <w:rsid w:val="00AA71C6"/>
    <w:rsid w:val="00BB5311"/>
    <w:rsid w:val="00BC40B4"/>
    <w:rsid w:val="00C5621B"/>
    <w:rsid w:val="00E16E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AA71C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288</Words>
  <Characters>1645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dcterms:created xsi:type="dcterms:W3CDTF">2016-10-13T18:05:00Z</dcterms:created>
  <dcterms:modified xsi:type="dcterms:W3CDTF">2016-10-13T20:16:00Z</dcterms:modified>
</cp:coreProperties>
</file>