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C12CDD">
        <w:rPr>
          <w:sz w:val="24"/>
          <w:szCs w:val="24"/>
        </w:rPr>
        <w:t xml:space="preserve">Fern Dye for Vicki McCoy, a minor, v. Alan McCoy and Rose </w:t>
      </w:r>
      <w:proofErr w:type="spellStart"/>
      <w:r w:rsidR="00C12CDD">
        <w:rPr>
          <w:sz w:val="24"/>
          <w:szCs w:val="24"/>
        </w:rPr>
        <w:t>Awman</w:t>
      </w:r>
      <w:proofErr w:type="spellEnd"/>
      <w:r w:rsidR="00C12CDD">
        <w:rPr>
          <w:sz w:val="24"/>
          <w:szCs w:val="24"/>
        </w:rPr>
        <w:t>, Appellants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C12CDD">
        <w:rPr>
          <w:sz w:val="24"/>
          <w:szCs w:val="24"/>
        </w:rPr>
        <w:t xml:space="preserve">J. </w:t>
      </w:r>
      <w:proofErr w:type="spellStart"/>
      <w:r w:rsidR="00C12CDD">
        <w:rPr>
          <w:sz w:val="24"/>
          <w:szCs w:val="24"/>
        </w:rPr>
        <w:t>Tamilia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C12CDD">
        <w:rPr>
          <w:sz w:val="24"/>
          <w:szCs w:val="24"/>
        </w:rPr>
        <w:t>1993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3B74C3">
        <w:rPr>
          <w:sz w:val="24"/>
          <w:szCs w:val="24"/>
        </w:rPr>
        <w:t>PFA, child abuse, custody order, precedence of PFA order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C12CDD">
        <w:rPr>
          <w:sz w:val="24"/>
          <w:szCs w:val="24"/>
        </w:rPr>
        <w:t xml:space="preserve">Five-year-old Vicki returned from visit with father Alan McCoy &amp; his girlfriend Rose </w:t>
      </w:r>
      <w:proofErr w:type="spellStart"/>
      <w:r w:rsidR="00C12CDD">
        <w:rPr>
          <w:sz w:val="24"/>
          <w:szCs w:val="24"/>
        </w:rPr>
        <w:t>Awman</w:t>
      </w:r>
      <w:proofErr w:type="spellEnd"/>
      <w:r w:rsidR="00C12CDD">
        <w:rPr>
          <w:sz w:val="24"/>
          <w:szCs w:val="24"/>
        </w:rPr>
        <w:t xml:space="preserve"> with signs of abuse on her face.  Mother </w:t>
      </w:r>
      <w:r w:rsidR="003B74C3">
        <w:rPr>
          <w:sz w:val="24"/>
          <w:szCs w:val="24"/>
        </w:rPr>
        <w:t xml:space="preserve">sought and </w:t>
      </w:r>
      <w:r w:rsidR="00C12CDD">
        <w:rPr>
          <w:sz w:val="24"/>
          <w:szCs w:val="24"/>
        </w:rPr>
        <w:t>received a one-year, no-contact PFA for the child, and court also stated on record that a custody order issued by a different judge</w:t>
      </w:r>
      <w:r w:rsidR="003B74C3">
        <w:rPr>
          <w:sz w:val="24"/>
          <w:szCs w:val="24"/>
        </w:rPr>
        <w:t xml:space="preserve"> earlier</w:t>
      </w:r>
      <w:r w:rsidR="00C12CDD">
        <w:rPr>
          <w:sz w:val="24"/>
          <w:szCs w:val="24"/>
        </w:rPr>
        <w:t xml:space="preserve"> was to remain in effect.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</w:p>
    <w:p w:rsidR="00C12CDD" w:rsidRDefault="00C12CDD" w:rsidP="00C12CDD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Was there enough evidence to justify PFA order?</w:t>
      </w:r>
    </w:p>
    <w:p w:rsidR="00C12CDD" w:rsidRPr="00C12CDD" w:rsidRDefault="00C12CDD" w:rsidP="00C12CDD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Was written order different from the oral summation issued by judge on the day of the hearing?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C12CD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</w:p>
    <w:p w:rsidR="00C12CDD" w:rsidRDefault="00C12CDD" w:rsidP="00C12CD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Argument that there was insufficient evidence is without merit.</w:t>
      </w:r>
    </w:p>
    <w:p w:rsidR="00C12CDD" w:rsidRDefault="00C12CDD" w:rsidP="00C12CD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 conflict between written order and oral summation; appellants are not entitled for relief.</w:t>
      </w:r>
    </w:p>
    <w:p w:rsidR="003B74C3" w:rsidRDefault="003B74C3" w:rsidP="00C12CD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However:  we disagree that the PFA judge had no authority to alter the earlier custody order, so the case is remanded for further consideration.  (Specifically: make sure that the earlier custody order does not nullify the PFA’s protections for the child.  PFA takes precedence.)</w:t>
      </w:r>
    </w:p>
    <w:p w:rsidR="003B74C3" w:rsidRPr="00C12CDD" w:rsidRDefault="003B74C3" w:rsidP="003B74C3">
      <w:pPr>
        <w:pStyle w:val="ListParagraph"/>
        <w:spacing w:after="0"/>
        <w:rPr>
          <w:sz w:val="24"/>
          <w:szCs w:val="24"/>
        </w:rPr>
      </w:pPr>
    </w:p>
    <w:p w:rsidR="00E16E68" w:rsidRDefault="00E16E68" w:rsidP="003B74C3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3B74C3" w:rsidRDefault="003B74C3" w:rsidP="003B74C3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Testimony of victim and other witnesses on her behalf was credible.</w:t>
      </w:r>
    </w:p>
    <w:p w:rsidR="003B74C3" w:rsidRDefault="003B74C3" w:rsidP="003B74C3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The parties did not furnish Superior Court with transcript of the trial, but according to the trial court opinion there was no discrepancy between the written and oral orders.</w:t>
      </w:r>
    </w:p>
    <w:p w:rsidR="003B74C3" w:rsidRDefault="003B74C3" w:rsidP="003B74C3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Actually, PFA law allows PFA court to supersede other custody arrangements for a time in order to keep children safe.  (Also, nobody let us know the contents of the custody order, so you’re going to have to deal with </w:t>
      </w:r>
      <w:proofErr w:type="gramStart"/>
      <w:r>
        <w:rPr>
          <w:sz w:val="24"/>
          <w:szCs w:val="24"/>
        </w:rPr>
        <w:t>this</w:t>
      </w:r>
      <w:proofErr w:type="gramEnd"/>
      <w:r>
        <w:rPr>
          <w:sz w:val="24"/>
          <w:szCs w:val="24"/>
        </w:rPr>
        <w:t xml:space="preserve"> yourselves.)</w:t>
      </w:r>
    </w:p>
    <w:p w:rsidR="003B74C3" w:rsidRPr="003B74C3" w:rsidRDefault="003B74C3" w:rsidP="003B74C3">
      <w:pPr>
        <w:pStyle w:val="ListParagraph"/>
        <w:spacing w:after="0"/>
        <w:rPr>
          <w:sz w:val="24"/>
          <w:szCs w:val="24"/>
        </w:rPr>
      </w:pPr>
    </w:p>
    <w:p w:rsidR="0015215A" w:rsidRDefault="0015215A" w:rsidP="00C12CD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C12CDD" w:rsidRPr="003B74C3" w:rsidRDefault="00C12CDD" w:rsidP="00C12CDD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color w:val="171E22"/>
        </w:rPr>
        <w:t xml:space="preserve">(Fn </w:t>
      </w:r>
      <w:proofErr w:type="gramStart"/>
      <w:r>
        <w:rPr>
          <w:color w:val="171E22"/>
        </w:rPr>
        <w:t>3:</w:t>
      </w:r>
      <w:proofErr w:type="gramEnd"/>
      <w:r>
        <w:rPr>
          <w:color w:val="171E22"/>
        </w:rPr>
        <w:t>) “Once again we note with disfavor the parties' failure to include a transcript of this hearing.”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Dye for McCoy v. McCoy</w:t>
      </w:r>
      <w:r>
        <w:rPr>
          <w:color w:val="171E22"/>
        </w:rPr>
        <w:t>, 423 Pa. Super. 334, 336 n.3 (Pa. Super. Ct. 1993)</w:t>
      </w:r>
    </w:p>
    <w:p w:rsidR="003B74C3" w:rsidRPr="003B74C3" w:rsidRDefault="003B74C3" w:rsidP="00C12CDD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color w:val="171E22"/>
        </w:rPr>
        <w:t>“Indeed, should the custody Order grant McCoy visitation with or partial custody of Vicki, the PFA Order would be rendered a nullity. This is not a permissible resolution of these actions.”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Dye for McCoy v. McCoy</w:t>
      </w:r>
      <w:r>
        <w:rPr>
          <w:color w:val="171E22"/>
        </w:rPr>
        <w:t>, 423 Pa. Super. 334, 337 (Pa. Super. Ct. 1993)</w:t>
      </w:r>
    </w:p>
    <w:p w:rsidR="003B74C3" w:rsidRPr="00C12CDD" w:rsidRDefault="003B74C3" w:rsidP="00C12CDD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color w:val="171E22"/>
        </w:rPr>
        <w:t>“A PFA Order may not impose other than an emergency support or custody Order pursuant to section 6108, Relief, (a</w:t>
      </w:r>
      <w:proofErr w:type="gramStart"/>
      <w:r>
        <w:rPr>
          <w:color w:val="171E22"/>
        </w:rPr>
        <w:t>)(</w:t>
      </w:r>
      <w:proofErr w:type="gramEnd"/>
      <w:r>
        <w:rPr>
          <w:color w:val="171E22"/>
        </w:rPr>
        <w:t>4) regarding custody and (a)(5) regarding support.”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Dye for McCoy v. McCoy</w:t>
      </w:r>
      <w:r>
        <w:rPr>
          <w:color w:val="171E22"/>
        </w:rPr>
        <w:t>, 423 Pa. Super. 334, 337 (Pa. Super. Ct. 1993)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3B74C3" w:rsidRDefault="003B74C3" w:rsidP="0010547E">
      <w:pPr>
        <w:spacing w:after="0"/>
        <w:rPr>
          <w:b/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Attorneys’ Arguments:</w:t>
      </w:r>
    </w:p>
    <w:p w:rsidR="00C12CDD" w:rsidRPr="00C12CDD" w:rsidRDefault="00C12CDD" w:rsidP="00C12CDD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Appellants:  judge’s oral summation did not bar them from having contact with the child, but written PFA order precluded contact.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C12CDD" w:rsidRPr="00C12CDD" w:rsidRDefault="00C12CDD" w:rsidP="00C12CDD">
      <w:pPr>
        <w:pStyle w:val="ListParagraph"/>
        <w:numPr>
          <w:ilvl w:val="0"/>
          <w:numId w:val="5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23 PA C.S. Section </w:t>
      </w:r>
      <w:proofErr w:type="gramStart"/>
      <w:r>
        <w:rPr>
          <w:b/>
          <w:sz w:val="24"/>
          <w:szCs w:val="24"/>
        </w:rPr>
        <w:t>6102ff.:</w:t>
      </w:r>
      <w:proofErr w:type="gramEnd"/>
      <w:r>
        <w:rPr>
          <w:sz w:val="24"/>
          <w:szCs w:val="24"/>
        </w:rPr>
        <w:t xml:space="preserve"> intended to prevent future abuse through forbidding contact and abuse.</w:t>
      </w:r>
    </w:p>
    <w:p w:rsidR="00C12CDD" w:rsidRPr="003B74C3" w:rsidRDefault="00C12CDD" w:rsidP="00C12CDD">
      <w:pPr>
        <w:pStyle w:val="ListParagraph"/>
        <w:numPr>
          <w:ilvl w:val="0"/>
          <w:numId w:val="5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Williamson v. Williamson </w:t>
      </w:r>
      <w:r>
        <w:rPr>
          <w:b/>
          <w:sz w:val="24"/>
          <w:szCs w:val="24"/>
        </w:rPr>
        <w:t>(1991):</w:t>
      </w:r>
      <w:r>
        <w:rPr>
          <w:sz w:val="24"/>
          <w:szCs w:val="24"/>
        </w:rPr>
        <w:t xml:space="preserve">  </w:t>
      </w:r>
      <w:r>
        <w:rPr>
          <w:color w:val="171E22"/>
        </w:rPr>
        <w:t>“Finder of fact is entitled to weigh the evidence presented, assess its credibility and believe all, part or none of what is presented.”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Dye for McCoy v. McCoy</w:t>
      </w:r>
      <w:r>
        <w:rPr>
          <w:color w:val="171E22"/>
        </w:rPr>
        <w:t>, 423 Pa. Super. 334, 336 (Pa. Super. Ct. 1993)</w:t>
      </w:r>
    </w:p>
    <w:p w:rsidR="003B74C3" w:rsidRPr="00C12CDD" w:rsidRDefault="003B74C3" w:rsidP="00C12CDD">
      <w:pPr>
        <w:pStyle w:val="ListParagraph"/>
        <w:numPr>
          <w:ilvl w:val="0"/>
          <w:numId w:val="5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23 PA C.S. Section 6108(a</w:t>
      </w:r>
      <w:proofErr w:type="gramStart"/>
      <w:r>
        <w:rPr>
          <w:b/>
          <w:sz w:val="24"/>
          <w:szCs w:val="24"/>
        </w:rPr>
        <w:t>)(</w:t>
      </w:r>
      <w:proofErr w:type="gramEnd"/>
      <w:r>
        <w:rPr>
          <w:b/>
          <w:sz w:val="24"/>
          <w:szCs w:val="24"/>
        </w:rPr>
        <w:t>4)</w:t>
      </w:r>
      <w:r>
        <w:rPr>
          <w:sz w:val="24"/>
          <w:szCs w:val="24"/>
        </w:rPr>
        <w:t>:  Court may impose custody award with PFA if necessary to assure the safety of the plaintiff and minor children.  Custody award (pre-existing or following) is precluded from nullifying the PFA.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Default="0015215A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3B74C3" w:rsidRPr="003B74C3" w:rsidRDefault="003B74C3" w:rsidP="003B74C3">
      <w:pPr>
        <w:pStyle w:val="ListParagraph"/>
        <w:numPr>
          <w:ilvl w:val="0"/>
          <w:numId w:val="5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At this time, the PFA order maxed out at 1 year.</w:t>
      </w:r>
    </w:p>
    <w:sectPr w:rsidR="003B74C3" w:rsidRPr="003B74C3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6B9" w:rsidRDefault="008B06B9" w:rsidP="00E16E68">
      <w:pPr>
        <w:spacing w:after="0" w:line="240" w:lineRule="auto"/>
      </w:pPr>
      <w:r>
        <w:separator/>
      </w:r>
    </w:p>
  </w:endnote>
  <w:endnote w:type="continuationSeparator" w:id="0">
    <w:p w:rsidR="008B06B9" w:rsidRDefault="008B06B9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6B9" w:rsidRDefault="008B06B9" w:rsidP="00E16E68">
      <w:pPr>
        <w:spacing w:after="0" w:line="240" w:lineRule="auto"/>
      </w:pPr>
      <w:r>
        <w:separator/>
      </w:r>
    </w:p>
  </w:footnote>
  <w:footnote w:type="continuationSeparator" w:id="0">
    <w:p w:rsidR="008B06B9" w:rsidRDefault="008B06B9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C12CDD">
      <w:t>1993</w:t>
    </w:r>
    <w:r w:rsidR="00E16E68">
      <w:tab/>
    </w:r>
    <w:r w:rsidR="00C12CDD">
      <w:t>Dye for McCoy v. McCoy</w:t>
    </w:r>
  </w:p>
  <w:p w:rsidR="00F95A0E" w:rsidRDefault="00F95A0E" w:rsidP="00F95A0E">
    <w:pPr>
      <w:pStyle w:val="Header"/>
      <w:jc w:val="right"/>
    </w:pPr>
    <w:r>
      <w:tab/>
    </w:r>
    <w:r>
      <w:tab/>
    </w:r>
    <w:r w:rsidR="003B74C3">
      <w:t>PFA &amp; CUSTODY ORDER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C4888"/>
    <w:multiLevelType w:val="hybridMultilevel"/>
    <w:tmpl w:val="7FDA4522"/>
    <w:lvl w:ilvl="0" w:tplc="0868C4E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DA6F17"/>
    <w:multiLevelType w:val="hybridMultilevel"/>
    <w:tmpl w:val="7EE80912"/>
    <w:lvl w:ilvl="0" w:tplc="05803C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B60B82"/>
    <w:multiLevelType w:val="hybridMultilevel"/>
    <w:tmpl w:val="4A10AA8C"/>
    <w:lvl w:ilvl="0" w:tplc="79704F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DD6C80"/>
    <w:multiLevelType w:val="hybridMultilevel"/>
    <w:tmpl w:val="8FC87C1C"/>
    <w:lvl w:ilvl="0" w:tplc="F9D863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785E34"/>
    <w:multiLevelType w:val="hybridMultilevel"/>
    <w:tmpl w:val="F7B460C4"/>
    <w:lvl w:ilvl="0" w:tplc="405ED93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3B74C3"/>
    <w:rsid w:val="005F2C53"/>
    <w:rsid w:val="00692188"/>
    <w:rsid w:val="006A18CC"/>
    <w:rsid w:val="00783475"/>
    <w:rsid w:val="007B337C"/>
    <w:rsid w:val="008B06B9"/>
    <w:rsid w:val="009645CA"/>
    <w:rsid w:val="00A20DAD"/>
    <w:rsid w:val="00A41926"/>
    <w:rsid w:val="00A56A0E"/>
    <w:rsid w:val="00AA40E8"/>
    <w:rsid w:val="00C12CDD"/>
    <w:rsid w:val="00C5621B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12C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2017-03-16T20:30:00Z</dcterms:created>
  <dcterms:modified xsi:type="dcterms:W3CDTF">2017-03-16T20:30:00Z</dcterms:modified>
</cp:coreProperties>
</file>