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D3B" w:rsidRDefault="00144D3B"/>
    <w:p w:rsidR="00E16E68" w:rsidRDefault="0016476D" w:rsidP="00E16E6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PA Superior Court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Case:</w:t>
      </w:r>
      <w:r w:rsidR="000933B7">
        <w:rPr>
          <w:sz w:val="24"/>
          <w:szCs w:val="24"/>
        </w:rPr>
        <w:t xml:space="preserve"> </w:t>
      </w:r>
      <w:r w:rsidR="008D492A">
        <w:t xml:space="preserve">BETH A. HOLDERMAN, Appellant v. JAMES HAGNER, </w:t>
      </w:r>
      <w:proofErr w:type="spellStart"/>
      <w:r w:rsidR="008D492A">
        <w:t>Appellee</w:t>
      </w:r>
      <w:proofErr w:type="spellEnd"/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Judge:</w:t>
      </w:r>
      <w:r>
        <w:rPr>
          <w:b/>
          <w:sz w:val="24"/>
          <w:szCs w:val="24"/>
        </w:rPr>
        <w:tab/>
      </w:r>
      <w:r w:rsidR="008D492A">
        <w:rPr>
          <w:sz w:val="24"/>
          <w:szCs w:val="24"/>
        </w:rPr>
        <w:t xml:space="preserve">J. </w:t>
      </w:r>
      <w:proofErr w:type="spellStart"/>
      <w:r w:rsidR="008D492A">
        <w:rPr>
          <w:sz w:val="24"/>
          <w:szCs w:val="24"/>
        </w:rPr>
        <w:t>Brosky</w:t>
      </w:r>
      <w:proofErr w:type="spell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Date:</w:t>
      </w:r>
      <w:r w:rsidR="000933B7">
        <w:rPr>
          <w:sz w:val="24"/>
          <w:szCs w:val="24"/>
        </w:rPr>
        <w:t xml:space="preserve"> </w:t>
      </w:r>
      <w:r w:rsidR="008D492A">
        <w:rPr>
          <w:sz w:val="24"/>
          <w:szCs w:val="24"/>
        </w:rPr>
        <w:t>Oct. 6, 2000</w:t>
      </w:r>
    </w:p>
    <w:p w:rsidR="00E16E68" w:rsidRPr="006336C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Tags:</w:t>
      </w:r>
      <w:r w:rsidR="000933B7">
        <w:rPr>
          <w:sz w:val="24"/>
          <w:szCs w:val="24"/>
        </w:rPr>
        <w:t xml:space="preserve"> </w:t>
      </w:r>
      <w:r w:rsidR="006336C7">
        <w:rPr>
          <w:sz w:val="24"/>
          <w:szCs w:val="24"/>
        </w:rPr>
        <w:t xml:space="preserve">PFA, Contempt, duration, Temporary Order, </w:t>
      </w:r>
      <w:r w:rsidR="006336C7">
        <w:rPr>
          <w:i/>
          <w:sz w:val="24"/>
          <w:szCs w:val="24"/>
        </w:rPr>
        <w:t>ex parte</w:t>
      </w:r>
      <w:r w:rsidR="006336C7">
        <w:rPr>
          <w:sz w:val="24"/>
          <w:szCs w:val="24"/>
        </w:rPr>
        <w:t>, Final Order, timely petition</w:t>
      </w:r>
    </w:p>
    <w:p w:rsidR="00E16E68" w:rsidRPr="008D492A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Facts:</w:t>
      </w:r>
      <w:r w:rsidR="000933B7">
        <w:rPr>
          <w:sz w:val="24"/>
          <w:szCs w:val="24"/>
        </w:rPr>
        <w:t xml:space="preserve"> </w:t>
      </w:r>
      <w:r w:rsidR="008D492A">
        <w:rPr>
          <w:sz w:val="24"/>
          <w:szCs w:val="24"/>
        </w:rPr>
        <w:t xml:space="preserve">After abuse occurred, Plaintiff filed a PFA order, but Defendant kept not showing up for the hearing.  Temporary order was continued </w:t>
      </w:r>
      <w:r w:rsidR="001070A4">
        <w:rPr>
          <w:sz w:val="24"/>
          <w:szCs w:val="24"/>
        </w:rPr>
        <w:t>f</w:t>
      </w:r>
      <w:r w:rsidR="008D492A">
        <w:rPr>
          <w:sz w:val="24"/>
          <w:szCs w:val="24"/>
        </w:rPr>
        <w:t xml:space="preserve">rom March thru July, whereupon an </w:t>
      </w:r>
      <w:r w:rsidR="008D492A">
        <w:rPr>
          <w:i/>
          <w:sz w:val="24"/>
          <w:szCs w:val="24"/>
        </w:rPr>
        <w:t>ex parte</w:t>
      </w:r>
      <w:r w:rsidR="008D492A">
        <w:rPr>
          <w:sz w:val="24"/>
          <w:szCs w:val="24"/>
        </w:rPr>
        <w:t xml:space="preserve"> hearing was held and a Final Order was </w:t>
      </w:r>
      <w:r w:rsidR="00972581">
        <w:rPr>
          <w:sz w:val="24"/>
          <w:szCs w:val="24"/>
        </w:rPr>
        <w:t>entered by the court for one year, expiration date set July of next year.  On that expiration date, Plaintiff filed a form alleging contempt of PFA; trial court judge ruled that it was untimely.</w:t>
      </w:r>
    </w:p>
    <w:p w:rsidR="0010547E" w:rsidRPr="008D492A" w:rsidRDefault="00E16E68" w:rsidP="0015215A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Gravamen/Question(s) at issue:</w:t>
      </w:r>
      <w:r w:rsidR="000933B7">
        <w:rPr>
          <w:sz w:val="24"/>
          <w:szCs w:val="24"/>
        </w:rPr>
        <w:t xml:space="preserve"> </w:t>
      </w:r>
      <w:r w:rsidR="008D492A">
        <w:rPr>
          <w:sz w:val="24"/>
          <w:szCs w:val="24"/>
        </w:rPr>
        <w:t>(Question of first impression</w:t>
      </w:r>
      <w:proofErr w:type="gramStart"/>
      <w:r w:rsidR="008D492A">
        <w:rPr>
          <w:sz w:val="24"/>
          <w:szCs w:val="24"/>
        </w:rPr>
        <w:t>)  “</w:t>
      </w:r>
      <w:proofErr w:type="gramEnd"/>
      <w:r w:rsidR="008D492A" w:rsidRPr="008D492A">
        <w:rPr>
          <w:i/>
        </w:rPr>
        <w:t>Does the maximum duration period of a protection from abuse order run from the date of the final hearing, or from the date of a prior temporary ex parte proceeding?</w:t>
      </w:r>
      <w:r w:rsidR="008D492A">
        <w:rPr>
          <w:i/>
        </w:rPr>
        <w:t xml:space="preserve">” </w:t>
      </w:r>
      <w:r w:rsidR="008D492A">
        <w:t xml:space="preserve"> (1)</w:t>
      </w:r>
    </w:p>
    <w:p w:rsidR="0015215A" w:rsidRPr="0010547E" w:rsidRDefault="0015215A" w:rsidP="0015215A">
      <w:pPr>
        <w:spacing w:after="0"/>
        <w:rPr>
          <w:sz w:val="24"/>
          <w:szCs w:val="24"/>
        </w:rPr>
      </w:pPr>
    </w:p>
    <w:p w:rsidR="0015215A" w:rsidRPr="00972581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Holdings:</w:t>
      </w:r>
      <w:r w:rsidR="000933B7">
        <w:rPr>
          <w:sz w:val="24"/>
          <w:szCs w:val="24"/>
        </w:rPr>
        <w:t xml:space="preserve"> </w:t>
      </w:r>
      <w:r w:rsidR="00972581">
        <w:rPr>
          <w:sz w:val="24"/>
          <w:szCs w:val="24"/>
        </w:rPr>
        <w:t xml:space="preserve">Agree with Appellant that trial court erred (the second time) in finding the first trial court wrong to schedule the expiration date one year past the Final Order </w:t>
      </w:r>
      <w:r w:rsidR="00972581">
        <w:rPr>
          <w:i/>
          <w:sz w:val="24"/>
          <w:szCs w:val="24"/>
        </w:rPr>
        <w:t>ex parte</w:t>
      </w:r>
      <w:r w:rsidR="00972581">
        <w:rPr>
          <w:sz w:val="24"/>
          <w:szCs w:val="24"/>
        </w:rPr>
        <w:t xml:space="preserve"> hearing date.</w:t>
      </w:r>
      <w:r w:rsidR="001070A4">
        <w:rPr>
          <w:sz w:val="24"/>
          <w:szCs w:val="24"/>
        </w:rPr>
        <w:t xml:space="preserve">  (IOW, the good path really was to measure from the Final Order, NOT the temporary order.)</w:t>
      </w:r>
    </w:p>
    <w:p w:rsidR="00E16E68" w:rsidRDefault="00E16E68" w:rsidP="00E16E68">
      <w:r>
        <w:rPr>
          <w:b/>
          <w:sz w:val="24"/>
          <w:szCs w:val="24"/>
        </w:rPr>
        <w:t>Rationale:</w:t>
      </w:r>
      <w:r w:rsidR="0010547E">
        <w:rPr>
          <w:sz w:val="24"/>
          <w:szCs w:val="24"/>
        </w:rPr>
        <w:t xml:space="preserve"> </w:t>
      </w:r>
      <w:r w:rsidR="00972581">
        <w:rPr>
          <w:sz w:val="24"/>
          <w:szCs w:val="24"/>
        </w:rPr>
        <w:t>“</w:t>
      </w:r>
      <w:r w:rsidR="00972581">
        <w:t>In so holding, the trial court failed to appreciate the distinguishing factors between temporary and final orders.” (7)</w:t>
      </w:r>
    </w:p>
    <w:p w:rsidR="00972581" w:rsidRDefault="00972581" w:rsidP="00E16E68">
      <w:pPr>
        <w:rPr>
          <w:sz w:val="24"/>
          <w:szCs w:val="24"/>
        </w:rPr>
      </w:pPr>
      <w:r>
        <w:t>The legislature made provisions for extending temporary orders.  If they’d meant the final order maximum of one year’s duration to apply to those temporary orders, there would have been a mention of the Temporary Orders in the section about Final Orders.</w:t>
      </w:r>
      <w:r w:rsidR="001070A4">
        <w:t xml:space="preserve">  The Superior Court hasn’t dealt with this question before, but everybody from bench to bar tacitly counts the duration from the Final Order.</w:t>
      </w:r>
    </w:p>
    <w:p w:rsidR="0015215A" w:rsidRPr="00972581" w:rsidRDefault="0015215A" w:rsidP="00E16E68">
      <w:pPr>
        <w:rPr>
          <w:sz w:val="24"/>
          <w:szCs w:val="24"/>
        </w:rPr>
      </w:pPr>
      <w:r>
        <w:rPr>
          <w:b/>
          <w:sz w:val="24"/>
          <w:szCs w:val="24"/>
        </w:rPr>
        <w:t>Trial Court Input:</w:t>
      </w:r>
      <w:r w:rsidR="00972581">
        <w:rPr>
          <w:sz w:val="24"/>
          <w:szCs w:val="24"/>
        </w:rPr>
        <w:t xml:space="preserve">  The original trial court messed up the dates; they should have counted from the initial entry of a PFA order in March of the prior year.</w:t>
      </w:r>
    </w:p>
    <w:p w:rsidR="009956F0" w:rsidRDefault="0015215A" w:rsidP="009956F0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Dicta:</w:t>
      </w:r>
    </w:p>
    <w:p w:rsidR="009956F0" w:rsidRDefault="009956F0" w:rsidP="009956F0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The evidentiary burden differs between temporary order and final order.</w:t>
      </w:r>
    </w:p>
    <w:p w:rsidR="009956F0" w:rsidRDefault="009956F0" w:rsidP="009956F0">
      <w:pPr>
        <w:pStyle w:val="ListParagraph"/>
        <w:numPr>
          <w:ilvl w:val="1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Temporary:  no full hearing; </w:t>
      </w:r>
      <w:r>
        <w:rPr>
          <w:i/>
          <w:sz w:val="24"/>
          <w:szCs w:val="24"/>
        </w:rPr>
        <w:t>ex parte</w:t>
      </w:r>
      <w:r>
        <w:rPr>
          <w:sz w:val="24"/>
          <w:szCs w:val="24"/>
        </w:rPr>
        <w:t xml:space="preserve"> allegations of “immediate and present danger of abuse.”</w:t>
      </w:r>
    </w:p>
    <w:p w:rsidR="009956F0" w:rsidRDefault="009956F0" w:rsidP="009956F0">
      <w:pPr>
        <w:pStyle w:val="ListParagraph"/>
        <w:numPr>
          <w:ilvl w:val="1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Final Order:  Petitioner must prove by preponderance of the evidence at a full hearing.  Def. has right to counsel and cross-examination.</w:t>
      </w:r>
    </w:p>
    <w:p w:rsidR="001070A4" w:rsidRPr="008D300B" w:rsidRDefault="001070A4" w:rsidP="001070A4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“</w:t>
      </w:r>
      <w:r>
        <w:t xml:space="preserve">We are also mindful of the </w:t>
      </w:r>
      <w:r w:rsidRPr="001070A4">
        <w:rPr>
          <w:b/>
        </w:rPr>
        <w:t>Rules of Construction</w:t>
      </w:r>
      <w:r>
        <w:t xml:space="preserve"> set forth in </w:t>
      </w:r>
      <w:proofErr w:type="spellStart"/>
      <w:r w:rsidRPr="001070A4">
        <w:rPr>
          <w:b/>
        </w:rPr>
        <w:t>Pa.R.C.P</w:t>
      </w:r>
      <w:proofErr w:type="spellEnd"/>
      <w:r w:rsidRPr="001070A4">
        <w:rPr>
          <w:b/>
        </w:rPr>
        <w:t>. 126, 127, 128, 131 and 132</w:t>
      </w:r>
      <w:r>
        <w:t xml:space="preserve"> which direct that we liberally construe the rules to secure the just, speedy and inexpensive determination of an action; that the intent of the Supreme Court controls and that every rule should be interpreted to give effect to all of its provisions; that the Supreme Court does not intend a result that is absurd, or that favors a private interest over the public interest; that rules in </w:t>
      </w:r>
      <w:proofErr w:type="spellStart"/>
      <w:r>
        <w:t>pari</w:t>
      </w:r>
      <w:proofErr w:type="spellEnd"/>
      <w:r>
        <w:t xml:space="preserve"> </w:t>
      </w:r>
      <w:proofErr w:type="spellStart"/>
      <w:r>
        <w:t>materia</w:t>
      </w:r>
      <w:proofErr w:type="spellEnd"/>
      <w:r>
        <w:t xml:space="preserve"> should be read together, if possible; and that a specific provision when in conflict, shall control a general provision.” (note 10, p.10)</w:t>
      </w:r>
    </w:p>
    <w:p w:rsidR="008D300B" w:rsidRDefault="008D300B" w:rsidP="001070A4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lastRenderedPageBreak/>
        <w:t xml:space="preserve">“Although of limited precedential value, the Stanton case provides a well reasoned analysis of the practical considerations facing the trial court. J. S20026/00 - - 14 </w:t>
      </w:r>
      <w:proofErr w:type="gramStart"/>
      <w:r>
        <w:t>We</w:t>
      </w:r>
      <w:proofErr w:type="gramEnd"/>
      <w:r>
        <w:t xml:space="preserve"> believe it is instructive and persuasive, and expresses the predominant view of the trial bench in this Commonwealth.” (p.13f.)</w:t>
      </w:r>
    </w:p>
    <w:p w:rsidR="009956F0" w:rsidRPr="009956F0" w:rsidRDefault="009956F0" w:rsidP="009956F0">
      <w:pPr>
        <w:pStyle w:val="ListParagraph"/>
        <w:spacing w:after="0"/>
        <w:ind w:left="1440"/>
        <w:rPr>
          <w:sz w:val="24"/>
          <w:szCs w:val="24"/>
        </w:rPr>
      </w:pPr>
    </w:p>
    <w:p w:rsidR="00E16E68" w:rsidRDefault="00E16E68" w:rsidP="001054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Appeals</w:t>
      </w:r>
      <w:r w:rsidR="00A56A0E">
        <w:rPr>
          <w:b/>
          <w:sz w:val="24"/>
          <w:szCs w:val="24"/>
        </w:rPr>
        <w:t xml:space="preserve"> to Statute &amp; Precedent</w:t>
      </w:r>
      <w:r>
        <w:rPr>
          <w:b/>
          <w:sz w:val="24"/>
          <w:szCs w:val="24"/>
        </w:rPr>
        <w:t>:</w:t>
      </w:r>
    </w:p>
    <w:p w:rsidR="008D492A" w:rsidRPr="00972581" w:rsidRDefault="008D492A" w:rsidP="008D492A">
      <w:pPr>
        <w:pStyle w:val="ListParagraph"/>
        <w:numPr>
          <w:ilvl w:val="0"/>
          <w:numId w:val="3"/>
        </w:numPr>
        <w:spacing w:after="0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 xml:space="preserve">PA 23 Section 6107: </w:t>
      </w:r>
      <w:r>
        <w:rPr>
          <w:sz w:val="24"/>
          <w:szCs w:val="24"/>
        </w:rPr>
        <w:t xml:space="preserve"> Timing of hearings</w:t>
      </w:r>
      <w:r w:rsidR="00972581">
        <w:rPr>
          <w:sz w:val="24"/>
          <w:szCs w:val="24"/>
        </w:rPr>
        <w:t xml:space="preserve">; provisions for granting an </w:t>
      </w:r>
      <w:r w:rsidR="00972581">
        <w:rPr>
          <w:i/>
          <w:sz w:val="24"/>
          <w:szCs w:val="24"/>
        </w:rPr>
        <w:t>ex parte</w:t>
      </w:r>
      <w:r w:rsidR="00972581">
        <w:rPr>
          <w:sz w:val="24"/>
          <w:szCs w:val="24"/>
        </w:rPr>
        <w:t xml:space="preserve"> or “temporary order”</w:t>
      </w:r>
    </w:p>
    <w:p w:rsidR="00972581" w:rsidRPr="001070A4" w:rsidRDefault="00972581" w:rsidP="008D492A">
      <w:pPr>
        <w:pStyle w:val="ListParagraph"/>
        <w:numPr>
          <w:ilvl w:val="0"/>
          <w:numId w:val="3"/>
        </w:numPr>
        <w:spacing w:after="0"/>
        <w:rPr>
          <w:b/>
          <w:i/>
          <w:sz w:val="24"/>
          <w:szCs w:val="24"/>
        </w:rPr>
      </w:pPr>
      <w:proofErr w:type="spellStart"/>
      <w:r>
        <w:rPr>
          <w:b/>
          <w:i/>
          <w:sz w:val="24"/>
          <w:szCs w:val="24"/>
        </w:rPr>
        <w:t>Guadagnino</w:t>
      </w:r>
      <w:proofErr w:type="spellEnd"/>
      <w:r>
        <w:rPr>
          <w:b/>
          <w:i/>
          <w:sz w:val="24"/>
          <w:szCs w:val="24"/>
        </w:rPr>
        <w:t xml:space="preserve"> v. </w:t>
      </w:r>
      <w:proofErr w:type="spellStart"/>
      <w:r>
        <w:rPr>
          <w:b/>
          <w:i/>
          <w:sz w:val="24"/>
          <w:szCs w:val="24"/>
        </w:rPr>
        <w:t>Montie</w:t>
      </w:r>
      <w:proofErr w:type="spellEnd"/>
      <w:r>
        <w:rPr>
          <w:b/>
          <w:i/>
          <w:sz w:val="24"/>
          <w:szCs w:val="24"/>
        </w:rPr>
        <w:t xml:space="preserve"> </w:t>
      </w:r>
      <w:r>
        <w:rPr>
          <w:sz w:val="24"/>
          <w:szCs w:val="24"/>
        </w:rPr>
        <w:t xml:space="preserve">(1994): Trial court’s findings re. </w:t>
      </w:r>
      <w:proofErr w:type="gramStart"/>
      <w:r>
        <w:rPr>
          <w:sz w:val="24"/>
          <w:szCs w:val="24"/>
        </w:rPr>
        <w:t>contempt</w:t>
      </w:r>
      <w:proofErr w:type="gramEnd"/>
      <w:r>
        <w:rPr>
          <w:sz w:val="24"/>
          <w:szCs w:val="24"/>
        </w:rPr>
        <w:t xml:space="preserve"> petition will be upheld unless there was an abuse of discretion involved (e.g., overriding or misapplying the law; unreasonable judgment; decision is evidently the result of partiality, prejudice, bias, or ill will).</w:t>
      </w:r>
    </w:p>
    <w:p w:rsidR="001070A4" w:rsidRPr="008D492A" w:rsidRDefault="001070A4" w:rsidP="008D492A">
      <w:pPr>
        <w:pStyle w:val="ListParagraph"/>
        <w:numPr>
          <w:ilvl w:val="0"/>
          <w:numId w:val="3"/>
        </w:numPr>
        <w:spacing w:after="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Stanton v. Stanton</w:t>
      </w:r>
      <w:r>
        <w:rPr>
          <w:sz w:val="24"/>
          <w:szCs w:val="24"/>
        </w:rPr>
        <w:t xml:space="preserve"> (Somerset County CCP, 1991):  court called on to determine from what date a Final Order should run; </w:t>
      </w:r>
      <w:r w:rsidR="008D300B">
        <w:rPr>
          <w:sz w:val="24"/>
          <w:szCs w:val="24"/>
        </w:rPr>
        <w:t>noted the difference between what is required for a ‘temporary’ and for a Final Order; decided to date it from Final Order hearing.  (Limited precedential value, but instructive.)</w:t>
      </w:r>
    </w:p>
    <w:p w:rsidR="0015215A" w:rsidRDefault="0015215A" w:rsidP="0010547E">
      <w:pPr>
        <w:spacing w:after="0"/>
        <w:rPr>
          <w:b/>
          <w:sz w:val="24"/>
          <w:szCs w:val="24"/>
        </w:rPr>
      </w:pPr>
    </w:p>
    <w:p w:rsidR="0015215A" w:rsidRDefault="0015215A" w:rsidP="001054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Commentary:</w:t>
      </w:r>
    </w:p>
    <w:p w:rsidR="00972581" w:rsidRPr="00972581" w:rsidRDefault="00972581" w:rsidP="00972581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Pretty sure PA 23 had not been amended yet to range as long as 3 years; they’re only talking about </w:t>
      </w:r>
      <w:r w:rsidRPr="00972581">
        <w:rPr>
          <w:sz w:val="24"/>
          <w:szCs w:val="24"/>
          <w:u w:val="single"/>
        </w:rPr>
        <w:t>one</w:t>
      </w:r>
      <w:r>
        <w:rPr>
          <w:sz w:val="24"/>
          <w:szCs w:val="24"/>
        </w:rPr>
        <w:t xml:space="preserve"> year as the maximum here.</w:t>
      </w:r>
      <w:r w:rsidR="001070A4">
        <w:rPr>
          <w:sz w:val="24"/>
          <w:szCs w:val="24"/>
        </w:rPr>
        <w:t xml:space="preserve">  (Actually, they cite a 2000 amendment that increased the maximum to 18 months.)</w:t>
      </w:r>
    </w:p>
    <w:sectPr w:rsidR="00972581" w:rsidRPr="00972581" w:rsidSect="00E16E6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1B81" w:rsidRDefault="002E1B81" w:rsidP="00E16E68">
      <w:pPr>
        <w:spacing w:after="0" w:line="240" w:lineRule="auto"/>
      </w:pPr>
      <w:r>
        <w:separator/>
      </w:r>
    </w:p>
  </w:endnote>
  <w:endnote w:type="continuationSeparator" w:id="0">
    <w:p w:rsidR="002E1B81" w:rsidRDefault="002E1B81" w:rsidP="00E16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00B" w:rsidRDefault="008D300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00B" w:rsidRDefault="008D300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00B" w:rsidRDefault="008D300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1B81" w:rsidRDefault="002E1B81" w:rsidP="00E16E68">
      <w:pPr>
        <w:spacing w:after="0" w:line="240" w:lineRule="auto"/>
      </w:pPr>
      <w:r>
        <w:separator/>
      </w:r>
    </w:p>
  </w:footnote>
  <w:footnote w:type="continuationSeparator" w:id="0">
    <w:p w:rsidR="002E1B81" w:rsidRDefault="002E1B81" w:rsidP="00E16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00B" w:rsidRDefault="008D300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E68" w:rsidRDefault="0016476D" w:rsidP="000933B7">
    <w:pPr>
      <w:pStyle w:val="Header"/>
      <w:jc w:val="right"/>
    </w:pPr>
    <w:r>
      <w:t>PA Superior Court</w:t>
    </w:r>
    <w:r w:rsidR="00E16E68">
      <w:tab/>
    </w:r>
    <w:r w:rsidR="008D492A">
      <w:t>2000</w:t>
    </w:r>
    <w:r w:rsidR="00E16E68">
      <w:tab/>
    </w:r>
    <w:proofErr w:type="spellStart"/>
    <w:r w:rsidR="008D492A">
      <w:t>Holderman</w:t>
    </w:r>
    <w:proofErr w:type="spellEnd"/>
    <w:r w:rsidR="008D492A">
      <w:t xml:space="preserve"> v. </w:t>
    </w:r>
    <w:proofErr w:type="spellStart"/>
    <w:r w:rsidR="008D492A">
      <w:t>Hagner</w:t>
    </w:r>
    <w:proofErr w:type="spellEnd"/>
  </w:p>
  <w:p w:rsidR="00F95A0E" w:rsidRDefault="00F95A0E" w:rsidP="00F95A0E">
    <w:pPr>
      <w:pStyle w:val="Header"/>
      <w:jc w:val="right"/>
    </w:pPr>
    <w:r>
      <w:tab/>
    </w:r>
    <w:r>
      <w:tab/>
    </w:r>
    <w:r w:rsidR="006336C7">
      <w:t xml:space="preserve">EXPIRATION DATE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00B" w:rsidRDefault="008D300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C19DA"/>
    <w:multiLevelType w:val="hybridMultilevel"/>
    <w:tmpl w:val="8FBEDD68"/>
    <w:lvl w:ilvl="0" w:tplc="07C098C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520471"/>
    <w:multiLevelType w:val="hybridMultilevel"/>
    <w:tmpl w:val="6BCCCF6E"/>
    <w:lvl w:ilvl="0" w:tplc="376EC82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9B3707"/>
    <w:multiLevelType w:val="hybridMultilevel"/>
    <w:tmpl w:val="4274C86E"/>
    <w:lvl w:ilvl="0" w:tplc="E9AE398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1B2B84"/>
    <w:multiLevelType w:val="hybridMultilevel"/>
    <w:tmpl w:val="C696E766"/>
    <w:lvl w:ilvl="0" w:tplc="04A81F5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E68"/>
    <w:rsid w:val="000933B7"/>
    <w:rsid w:val="0010547E"/>
    <w:rsid w:val="001070A4"/>
    <w:rsid w:val="00144D3B"/>
    <w:rsid w:val="0015215A"/>
    <w:rsid w:val="0016476D"/>
    <w:rsid w:val="00213CAD"/>
    <w:rsid w:val="002E1B81"/>
    <w:rsid w:val="00474883"/>
    <w:rsid w:val="005B1BDE"/>
    <w:rsid w:val="005F2C53"/>
    <w:rsid w:val="006336C7"/>
    <w:rsid w:val="00692188"/>
    <w:rsid w:val="006A18CC"/>
    <w:rsid w:val="007B337C"/>
    <w:rsid w:val="008D300B"/>
    <w:rsid w:val="008D492A"/>
    <w:rsid w:val="009645CA"/>
    <w:rsid w:val="00972581"/>
    <w:rsid w:val="009956F0"/>
    <w:rsid w:val="00A20DAD"/>
    <w:rsid w:val="00A41926"/>
    <w:rsid w:val="00A56A0E"/>
    <w:rsid w:val="00AA40E8"/>
    <w:rsid w:val="00C5621B"/>
    <w:rsid w:val="00E16E68"/>
    <w:rsid w:val="00F954BD"/>
    <w:rsid w:val="00F95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6E68"/>
  </w:style>
  <w:style w:type="paragraph" w:styleId="Footer">
    <w:name w:val="footer"/>
    <w:basedOn w:val="Normal"/>
    <w:link w:val="Foot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0547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599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</cp:lastModifiedBy>
  <cp:revision>4</cp:revision>
  <cp:lastPrinted>2016-10-19T14:31:00Z</cp:lastPrinted>
  <dcterms:created xsi:type="dcterms:W3CDTF">2016-11-07T21:06:00Z</dcterms:created>
  <dcterms:modified xsi:type="dcterms:W3CDTF">2016-11-12T20:03:00Z</dcterms:modified>
</cp:coreProperties>
</file>