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4C42D1">
        <w:rPr>
          <w:sz w:val="24"/>
          <w:szCs w:val="24"/>
        </w:rPr>
        <w:t xml:space="preserve">Mary Jo Hood-O’Hara, </w:t>
      </w:r>
      <w:proofErr w:type="spellStart"/>
      <w:r w:rsidR="004C42D1">
        <w:rPr>
          <w:sz w:val="24"/>
          <w:szCs w:val="24"/>
        </w:rPr>
        <w:t>Appelle</w:t>
      </w:r>
      <w:proofErr w:type="spellEnd"/>
      <w:r w:rsidR="004C42D1">
        <w:rPr>
          <w:sz w:val="24"/>
          <w:szCs w:val="24"/>
        </w:rPr>
        <w:t xml:space="preserve"> v. Robert Wills, Appellant</w:t>
      </w:r>
    </w:p>
    <w:p w:rsidR="00E16E68" w:rsidRPr="000933B7" w:rsidRDefault="00E16E68" w:rsidP="00E16E68">
      <w:pPr>
        <w:rPr>
          <w:sz w:val="24"/>
          <w:szCs w:val="24"/>
        </w:rPr>
      </w:pPr>
      <w:r>
        <w:rPr>
          <w:b/>
          <w:sz w:val="24"/>
          <w:szCs w:val="24"/>
        </w:rPr>
        <w:t>Judge:</w:t>
      </w:r>
      <w:r>
        <w:rPr>
          <w:b/>
          <w:sz w:val="24"/>
          <w:szCs w:val="24"/>
        </w:rPr>
        <w:tab/>
      </w:r>
      <w:r w:rsidR="004C42D1">
        <w:rPr>
          <w:sz w:val="24"/>
          <w:szCs w:val="24"/>
        </w:rPr>
        <w:t xml:space="preserve">J. </w:t>
      </w:r>
      <w:proofErr w:type="spellStart"/>
      <w:r w:rsidR="004C42D1">
        <w:rPr>
          <w:sz w:val="24"/>
          <w:szCs w:val="24"/>
        </w:rPr>
        <w:t>Olszewski</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4C42D1">
        <w:rPr>
          <w:sz w:val="24"/>
          <w:szCs w:val="24"/>
        </w:rPr>
        <w:t>April 22, 2005</w:t>
      </w:r>
    </w:p>
    <w:p w:rsidR="00E16E68" w:rsidRPr="000933B7" w:rsidRDefault="00E16E68" w:rsidP="00E16E68">
      <w:pPr>
        <w:rPr>
          <w:sz w:val="24"/>
          <w:szCs w:val="24"/>
        </w:rPr>
      </w:pPr>
      <w:r>
        <w:rPr>
          <w:b/>
          <w:sz w:val="24"/>
          <w:szCs w:val="24"/>
        </w:rPr>
        <w:t>Tags:</w:t>
      </w:r>
      <w:r w:rsidR="000933B7">
        <w:rPr>
          <w:sz w:val="24"/>
          <w:szCs w:val="24"/>
        </w:rPr>
        <w:t xml:space="preserve"> </w:t>
      </w:r>
      <w:r w:rsidR="0053633E">
        <w:rPr>
          <w:sz w:val="24"/>
          <w:szCs w:val="24"/>
        </w:rPr>
        <w:t>PFA, custody, deference, admissible evidence, sufficient evidence, peculiar argument, police report, medical records</w:t>
      </w:r>
    </w:p>
    <w:p w:rsidR="00E16E68" w:rsidRPr="000933B7" w:rsidRDefault="00E16E68" w:rsidP="00E16E68">
      <w:pPr>
        <w:rPr>
          <w:sz w:val="24"/>
          <w:szCs w:val="24"/>
        </w:rPr>
      </w:pPr>
      <w:r>
        <w:rPr>
          <w:b/>
          <w:sz w:val="24"/>
          <w:szCs w:val="24"/>
        </w:rPr>
        <w:t>Facts:</w:t>
      </w:r>
      <w:r w:rsidR="000933B7">
        <w:rPr>
          <w:sz w:val="24"/>
          <w:szCs w:val="24"/>
        </w:rPr>
        <w:t xml:space="preserve"> </w:t>
      </w:r>
      <w:r w:rsidR="00911B32">
        <w:rPr>
          <w:sz w:val="24"/>
          <w:szCs w:val="24"/>
        </w:rPr>
        <w:t>Longstanding abusive relationship is brought to PFA court.  Defendant doesn’t like the way it went, so he appeals on numerous grounds.</w:t>
      </w:r>
    </w:p>
    <w:p w:rsidR="0010547E" w:rsidRDefault="00E16E68" w:rsidP="0015215A">
      <w:pPr>
        <w:spacing w:after="0"/>
        <w:rPr>
          <w:sz w:val="24"/>
          <w:szCs w:val="24"/>
        </w:rPr>
      </w:pPr>
      <w:r>
        <w:rPr>
          <w:b/>
          <w:sz w:val="24"/>
          <w:szCs w:val="24"/>
        </w:rPr>
        <w:t>Gravamen/Question(s) at issue:</w:t>
      </w:r>
      <w:r w:rsidR="000933B7">
        <w:rPr>
          <w:sz w:val="24"/>
          <w:szCs w:val="24"/>
        </w:rPr>
        <w:t xml:space="preserve"> </w:t>
      </w:r>
    </w:p>
    <w:p w:rsidR="004C42D1" w:rsidRDefault="004C42D1" w:rsidP="004C42D1">
      <w:pPr>
        <w:pStyle w:val="ListParagraph"/>
        <w:numPr>
          <w:ilvl w:val="0"/>
          <w:numId w:val="3"/>
        </w:numPr>
        <w:spacing w:after="0"/>
        <w:rPr>
          <w:sz w:val="24"/>
          <w:szCs w:val="24"/>
        </w:rPr>
      </w:pPr>
      <w:r>
        <w:rPr>
          <w:sz w:val="24"/>
          <w:szCs w:val="24"/>
        </w:rPr>
        <w:t>Did trial court err in not admitting evidence i</w:t>
      </w:r>
      <w:r w:rsidR="0053633E">
        <w:rPr>
          <w:sz w:val="24"/>
          <w:szCs w:val="24"/>
        </w:rPr>
        <w:t>n form of emails &amp; recorded conv</w:t>
      </w:r>
      <w:r>
        <w:rPr>
          <w:sz w:val="24"/>
          <w:szCs w:val="24"/>
        </w:rPr>
        <w:t>ersation?</w:t>
      </w:r>
    </w:p>
    <w:p w:rsidR="004C42D1" w:rsidRDefault="004C42D1" w:rsidP="004C42D1">
      <w:pPr>
        <w:pStyle w:val="ListParagraph"/>
        <w:numPr>
          <w:ilvl w:val="0"/>
          <w:numId w:val="3"/>
        </w:numPr>
        <w:spacing w:after="0"/>
        <w:rPr>
          <w:sz w:val="24"/>
          <w:szCs w:val="24"/>
        </w:rPr>
      </w:pPr>
      <w:r>
        <w:rPr>
          <w:sz w:val="24"/>
          <w:szCs w:val="24"/>
        </w:rPr>
        <w:t xml:space="preserve">Did trial judge err in advising </w:t>
      </w:r>
      <w:proofErr w:type="spellStart"/>
      <w:r>
        <w:rPr>
          <w:sz w:val="24"/>
          <w:szCs w:val="24"/>
        </w:rPr>
        <w:t>Appellee</w:t>
      </w:r>
      <w:proofErr w:type="spellEnd"/>
      <w:r>
        <w:rPr>
          <w:sz w:val="24"/>
          <w:szCs w:val="24"/>
        </w:rPr>
        <w:t xml:space="preserve"> to seek a custody order?</w:t>
      </w:r>
    </w:p>
    <w:p w:rsidR="004C42D1" w:rsidRDefault="004C42D1" w:rsidP="004C42D1">
      <w:pPr>
        <w:pStyle w:val="ListParagraph"/>
        <w:numPr>
          <w:ilvl w:val="0"/>
          <w:numId w:val="3"/>
        </w:numPr>
        <w:spacing w:after="0"/>
        <w:rPr>
          <w:sz w:val="24"/>
          <w:szCs w:val="24"/>
        </w:rPr>
      </w:pPr>
      <w:r>
        <w:rPr>
          <w:sz w:val="24"/>
          <w:szCs w:val="24"/>
        </w:rPr>
        <w:t>Did trial court err in granting PFA w/o medical records as evidence, and incidents far in past?</w:t>
      </w:r>
    </w:p>
    <w:p w:rsidR="004C42D1" w:rsidRDefault="004C42D1" w:rsidP="004C42D1">
      <w:pPr>
        <w:pStyle w:val="ListParagraph"/>
        <w:numPr>
          <w:ilvl w:val="0"/>
          <w:numId w:val="3"/>
        </w:numPr>
        <w:spacing w:after="0"/>
        <w:rPr>
          <w:sz w:val="24"/>
          <w:szCs w:val="24"/>
        </w:rPr>
      </w:pPr>
      <w:r>
        <w:rPr>
          <w:sz w:val="24"/>
          <w:szCs w:val="24"/>
        </w:rPr>
        <w:t>Did trial court err in not noticing the petition was retaliatory?</w:t>
      </w:r>
    </w:p>
    <w:p w:rsidR="004C42D1" w:rsidRPr="004C42D1" w:rsidRDefault="004C42D1" w:rsidP="004C42D1">
      <w:pPr>
        <w:pStyle w:val="ListParagraph"/>
        <w:numPr>
          <w:ilvl w:val="0"/>
          <w:numId w:val="3"/>
        </w:numPr>
        <w:spacing w:after="0"/>
        <w:rPr>
          <w:sz w:val="24"/>
          <w:szCs w:val="24"/>
        </w:rPr>
      </w:pPr>
      <w:r>
        <w:rPr>
          <w:sz w:val="24"/>
          <w:szCs w:val="24"/>
        </w:rPr>
        <w:t>Did trial court err in allowing witnesses to testify for the plaintiff w/o giving notice to def of their intent to testify?</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4C42D1">
        <w:rPr>
          <w:sz w:val="24"/>
          <w:szCs w:val="24"/>
        </w:rPr>
        <w:t>Trial court decision is affirmed.</w:t>
      </w:r>
    </w:p>
    <w:p w:rsidR="004C42D1" w:rsidRDefault="00E16E68" w:rsidP="004C42D1">
      <w:pPr>
        <w:spacing w:after="0"/>
        <w:rPr>
          <w:sz w:val="24"/>
          <w:szCs w:val="24"/>
        </w:rPr>
      </w:pPr>
      <w:r>
        <w:rPr>
          <w:b/>
          <w:sz w:val="24"/>
          <w:szCs w:val="24"/>
        </w:rPr>
        <w:t>Rationale:</w:t>
      </w:r>
      <w:r w:rsidR="0010547E">
        <w:rPr>
          <w:sz w:val="24"/>
          <w:szCs w:val="24"/>
        </w:rPr>
        <w:t xml:space="preserve"> </w:t>
      </w:r>
    </w:p>
    <w:p w:rsidR="004C42D1" w:rsidRDefault="004C42D1" w:rsidP="004C42D1">
      <w:pPr>
        <w:pStyle w:val="ListParagraph"/>
        <w:numPr>
          <w:ilvl w:val="0"/>
          <w:numId w:val="4"/>
        </w:numPr>
        <w:spacing w:after="0"/>
        <w:rPr>
          <w:sz w:val="24"/>
          <w:szCs w:val="24"/>
        </w:rPr>
      </w:pPr>
      <w:r>
        <w:rPr>
          <w:sz w:val="24"/>
          <w:szCs w:val="24"/>
        </w:rPr>
        <w:t>Re. admissibility of evidence:</w:t>
      </w:r>
      <w:r w:rsidR="00911B32">
        <w:rPr>
          <w:sz w:val="24"/>
          <w:szCs w:val="24"/>
        </w:rPr>
        <w:t xml:space="preserve"> exceptions to hearsay rule are not applicable here, and there are authentication problems.  Emails were thus properly excluded.  Re. the audiotape, “the trial judge was within her discretion in discrediting the implication the appellant wished her to draw.” (4)</w:t>
      </w:r>
    </w:p>
    <w:p w:rsidR="00911B32" w:rsidRDefault="00911B32" w:rsidP="004C42D1">
      <w:pPr>
        <w:pStyle w:val="ListParagraph"/>
        <w:numPr>
          <w:ilvl w:val="0"/>
          <w:numId w:val="4"/>
        </w:numPr>
        <w:spacing w:after="0"/>
        <w:rPr>
          <w:sz w:val="24"/>
          <w:szCs w:val="24"/>
        </w:rPr>
      </w:pPr>
      <w:r>
        <w:rPr>
          <w:sz w:val="24"/>
          <w:szCs w:val="24"/>
        </w:rPr>
        <w:t xml:space="preserve">Re. advice to seek custody order: </w:t>
      </w:r>
      <w:proofErr w:type="gramStart"/>
      <w:r>
        <w:rPr>
          <w:sz w:val="24"/>
          <w:szCs w:val="24"/>
        </w:rPr>
        <w:t>all the</w:t>
      </w:r>
      <w:proofErr w:type="gramEnd"/>
      <w:r>
        <w:rPr>
          <w:sz w:val="24"/>
          <w:szCs w:val="24"/>
        </w:rPr>
        <w:t xml:space="preserve"> trial judge said was, “we’re leaving the paternity issue to the custody court.”  (q. p.4) – hardly “advice”!</w:t>
      </w:r>
    </w:p>
    <w:p w:rsidR="00911B32" w:rsidRDefault="00911B32" w:rsidP="004C42D1">
      <w:pPr>
        <w:pStyle w:val="ListParagraph"/>
        <w:numPr>
          <w:ilvl w:val="0"/>
          <w:numId w:val="4"/>
        </w:numPr>
        <w:spacing w:after="0"/>
        <w:rPr>
          <w:sz w:val="24"/>
          <w:szCs w:val="24"/>
        </w:rPr>
      </w:pPr>
      <w:r>
        <w:rPr>
          <w:sz w:val="24"/>
          <w:szCs w:val="24"/>
        </w:rPr>
        <w:t>Re. insufficient evidence: credible testimony, sufficient evidence</w:t>
      </w:r>
      <w:r w:rsidR="0053633E">
        <w:rPr>
          <w:sz w:val="24"/>
          <w:szCs w:val="24"/>
        </w:rPr>
        <w:t>.  “Appellant’s argument that the lack of police reports or medical records renders the judge’s determination erroneous also fails.” (6) (IOW, neither is required by PFA Act.)</w:t>
      </w:r>
    </w:p>
    <w:p w:rsidR="0053633E" w:rsidRDefault="0053633E" w:rsidP="004C42D1">
      <w:pPr>
        <w:pStyle w:val="ListParagraph"/>
        <w:numPr>
          <w:ilvl w:val="0"/>
          <w:numId w:val="4"/>
        </w:numPr>
        <w:spacing w:after="0"/>
        <w:rPr>
          <w:sz w:val="24"/>
          <w:szCs w:val="24"/>
        </w:rPr>
      </w:pPr>
      <w:r>
        <w:rPr>
          <w:sz w:val="24"/>
          <w:szCs w:val="24"/>
        </w:rPr>
        <w:t>Re. retaliation (for custody suit filed by defendant the day prior): deference to trial judge’s evaluation of plaintiff’s credibility.  “We will not overturn the credibility determination of the judge.”  (8)</w:t>
      </w:r>
    </w:p>
    <w:p w:rsidR="0053633E" w:rsidRPr="004C42D1" w:rsidRDefault="0053633E" w:rsidP="004C42D1">
      <w:pPr>
        <w:pStyle w:val="ListParagraph"/>
        <w:numPr>
          <w:ilvl w:val="0"/>
          <w:numId w:val="4"/>
        </w:numPr>
        <w:spacing w:after="0"/>
        <w:rPr>
          <w:sz w:val="24"/>
          <w:szCs w:val="24"/>
        </w:rPr>
      </w:pPr>
      <w:r>
        <w:rPr>
          <w:sz w:val="24"/>
          <w:szCs w:val="24"/>
        </w:rPr>
        <w:t xml:space="preserve">Re. lack of notice about witnesses:  “We find this a peculiar argument and reject it for numerous reasons.”  -- </w:t>
      </w:r>
      <w:proofErr w:type="gramStart"/>
      <w:r>
        <w:rPr>
          <w:sz w:val="24"/>
          <w:szCs w:val="24"/>
        </w:rPr>
        <w:t>he</w:t>
      </w:r>
      <w:proofErr w:type="gramEnd"/>
      <w:r>
        <w:rPr>
          <w:sz w:val="24"/>
          <w:szCs w:val="24"/>
        </w:rPr>
        <w:t xml:space="preserve"> didn’t object at the time, so can’t raise it on appeal now.  “Second, appellant cites no statutory or </w:t>
      </w:r>
      <w:proofErr w:type="gramStart"/>
      <w:r>
        <w:rPr>
          <w:sz w:val="24"/>
          <w:szCs w:val="24"/>
        </w:rPr>
        <w:t>case law, nor</w:t>
      </w:r>
      <w:proofErr w:type="gramEnd"/>
      <w:r>
        <w:rPr>
          <w:sz w:val="24"/>
          <w:szCs w:val="24"/>
        </w:rPr>
        <w:t xml:space="preserve"> can we find any, to support his contention that he is entitled to a witness list or notice of intention to call witnesses.” (8)</w:t>
      </w:r>
    </w:p>
    <w:p w:rsidR="00911B32" w:rsidRDefault="0015215A" w:rsidP="00911B32">
      <w:pPr>
        <w:spacing w:after="0"/>
        <w:rPr>
          <w:sz w:val="24"/>
          <w:szCs w:val="24"/>
        </w:rPr>
      </w:pPr>
      <w:r>
        <w:rPr>
          <w:b/>
          <w:sz w:val="24"/>
          <w:szCs w:val="24"/>
        </w:rPr>
        <w:t>Trial Court Input:</w:t>
      </w:r>
    </w:p>
    <w:p w:rsidR="00911B32" w:rsidRPr="00911B32" w:rsidRDefault="00911B32" w:rsidP="00911B32">
      <w:pPr>
        <w:pStyle w:val="ListParagraph"/>
        <w:numPr>
          <w:ilvl w:val="0"/>
          <w:numId w:val="5"/>
        </w:numPr>
        <w:spacing w:after="0"/>
        <w:rPr>
          <w:sz w:val="24"/>
          <w:szCs w:val="24"/>
        </w:rPr>
      </w:pPr>
      <w:r>
        <w:rPr>
          <w:sz w:val="24"/>
          <w:szCs w:val="24"/>
        </w:rPr>
        <w:t>“Although the trial judge may have improperly interjected that she had been told it was possible to ‘fake’ an email and have it look as if someone else had sent it, we agree with the trial judge that the emails were not properly authenticated.” (n.6, p.4)</w:t>
      </w:r>
    </w:p>
    <w:p w:rsidR="006A18CC" w:rsidRDefault="006A18CC" w:rsidP="006A18CC">
      <w:pPr>
        <w:pStyle w:val="ListParagraph"/>
        <w:spacing w:after="0"/>
        <w:rPr>
          <w:sz w:val="24"/>
          <w:szCs w:val="24"/>
        </w:rPr>
      </w:pPr>
    </w:p>
    <w:p w:rsidR="0053633E" w:rsidRPr="0010547E" w:rsidRDefault="0053633E"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911B32" w:rsidRPr="00911B32" w:rsidRDefault="00911B32" w:rsidP="00911B32">
      <w:pPr>
        <w:pStyle w:val="ListParagraph"/>
        <w:numPr>
          <w:ilvl w:val="0"/>
          <w:numId w:val="5"/>
        </w:numPr>
        <w:spacing w:after="0"/>
        <w:rPr>
          <w:b/>
          <w:sz w:val="24"/>
          <w:szCs w:val="24"/>
        </w:rPr>
      </w:pPr>
      <w:proofErr w:type="spellStart"/>
      <w:r>
        <w:rPr>
          <w:b/>
          <w:i/>
          <w:sz w:val="24"/>
          <w:szCs w:val="24"/>
        </w:rPr>
        <w:t>Ferri</w:t>
      </w:r>
      <w:proofErr w:type="spellEnd"/>
      <w:r>
        <w:rPr>
          <w:b/>
          <w:i/>
          <w:sz w:val="24"/>
          <w:szCs w:val="24"/>
        </w:rPr>
        <w:t xml:space="preserve"> v. </w:t>
      </w:r>
      <w:proofErr w:type="spellStart"/>
      <w:r>
        <w:rPr>
          <w:b/>
          <w:i/>
          <w:sz w:val="24"/>
          <w:szCs w:val="24"/>
        </w:rPr>
        <w:t>Ferri</w:t>
      </w:r>
      <w:proofErr w:type="spellEnd"/>
      <w:r>
        <w:rPr>
          <w:b/>
          <w:i/>
          <w:sz w:val="24"/>
          <w:szCs w:val="24"/>
        </w:rPr>
        <w:t xml:space="preserve"> </w:t>
      </w:r>
      <w:r>
        <w:rPr>
          <w:sz w:val="24"/>
          <w:szCs w:val="24"/>
        </w:rPr>
        <w:t>(2004): review of evidence in light most favorable to petitioner</w:t>
      </w:r>
    </w:p>
    <w:p w:rsidR="00911B32" w:rsidRPr="00911B32" w:rsidRDefault="00911B32" w:rsidP="00911B32">
      <w:pPr>
        <w:pStyle w:val="ListParagraph"/>
        <w:numPr>
          <w:ilvl w:val="0"/>
          <w:numId w:val="5"/>
        </w:numPr>
        <w:spacing w:after="0"/>
        <w:rPr>
          <w:b/>
          <w:sz w:val="24"/>
          <w:szCs w:val="24"/>
        </w:rPr>
      </w:pPr>
      <w:proofErr w:type="spellStart"/>
      <w:r>
        <w:rPr>
          <w:b/>
          <w:i/>
          <w:sz w:val="24"/>
          <w:szCs w:val="24"/>
        </w:rPr>
        <w:t>Raker</w:t>
      </w:r>
      <w:proofErr w:type="spellEnd"/>
      <w:r>
        <w:rPr>
          <w:b/>
          <w:i/>
          <w:sz w:val="24"/>
          <w:szCs w:val="24"/>
        </w:rPr>
        <w:t xml:space="preserve"> v. </w:t>
      </w:r>
      <w:proofErr w:type="spellStart"/>
      <w:r>
        <w:rPr>
          <w:b/>
          <w:i/>
          <w:sz w:val="24"/>
          <w:szCs w:val="24"/>
        </w:rPr>
        <w:t>Raker</w:t>
      </w:r>
      <w:proofErr w:type="spellEnd"/>
      <w:r>
        <w:rPr>
          <w:sz w:val="24"/>
          <w:szCs w:val="24"/>
        </w:rPr>
        <w:t xml:space="preserve"> (2004): deference to trial court re. the credibility determinations as to witnesses</w:t>
      </w:r>
    </w:p>
    <w:p w:rsidR="00911B32" w:rsidRPr="0053633E" w:rsidRDefault="00911B32" w:rsidP="00911B32">
      <w:pPr>
        <w:pStyle w:val="ListParagraph"/>
        <w:numPr>
          <w:ilvl w:val="0"/>
          <w:numId w:val="5"/>
        </w:numPr>
        <w:spacing w:after="0"/>
        <w:rPr>
          <w:b/>
          <w:sz w:val="24"/>
          <w:szCs w:val="24"/>
        </w:rPr>
      </w:pPr>
      <w:r>
        <w:rPr>
          <w:b/>
          <w:i/>
          <w:sz w:val="24"/>
          <w:szCs w:val="24"/>
        </w:rPr>
        <w:t>Burke v. Bauman</w:t>
      </w:r>
      <w:r>
        <w:rPr>
          <w:sz w:val="24"/>
          <w:szCs w:val="24"/>
        </w:rPr>
        <w:t xml:space="preserve"> (2002): reasonable fear based on past abuse &amp; present telephone calls</w:t>
      </w:r>
    </w:p>
    <w:p w:rsidR="0053633E" w:rsidRPr="0053633E" w:rsidRDefault="0053633E" w:rsidP="00911B32">
      <w:pPr>
        <w:pStyle w:val="ListParagraph"/>
        <w:numPr>
          <w:ilvl w:val="0"/>
          <w:numId w:val="5"/>
        </w:numPr>
        <w:spacing w:after="0"/>
        <w:rPr>
          <w:b/>
          <w:sz w:val="24"/>
          <w:szCs w:val="24"/>
        </w:rPr>
      </w:pPr>
      <w:r>
        <w:rPr>
          <w:b/>
          <w:i/>
          <w:sz w:val="24"/>
          <w:szCs w:val="24"/>
        </w:rPr>
        <w:t>Coda v. Coda</w:t>
      </w:r>
      <w:r>
        <w:rPr>
          <w:sz w:val="24"/>
          <w:szCs w:val="24"/>
        </w:rPr>
        <w:t xml:space="preserve"> (1995): testimony of petitioner was sufficient</w:t>
      </w:r>
    </w:p>
    <w:p w:rsidR="0053633E" w:rsidRPr="0053633E" w:rsidRDefault="0053633E" w:rsidP="00911B32">
      <w:pPr>
        <w:pStyle w:val="ListParagraph"/>
        <w:numPr>
          <w:ilvl w:val="0"/>
          <w:numId w:val="5"/>
        </w:numPr>
        <w:spacing w:after="0"/>
        <w:rPr>
          <w:b/>
          <w:sz w:val="24"/>
          <w:szCs w:val="24"/>
        </w:rPr>
      </w:pPr>
      <w:r>
        <w:rPr>
          <w:b/>
          <w:i/>
          <w:sz w:val="24"/>
          <w:szCs w:val="24"/>
        </w:rPr>
        <w:t xml:space="preserve">Miller v. </w:t>
      </w:r>
      <w:proofErr w:type="gramStart"/>
      <w:r>
        <w:rPr>
          <w:b/>
          <w:i/>
          <w:sz w:val="24"/>
          <w:szCs w:val="24"/>
        </w:rPr>
        <w:t xml:space="preserve">Walker </w:t>
      </w:r>
      <w:r>
        <w:rPr>
          <w:sz w:val="24"/>
          <w:szCs w:val="24"/>
        </w:rPr>
        <w:t xml:space="preserve"> (</w:t>
      </w:r>
      <w:proofErr w:type="gramEnd"/>
      <w:r>
        <w:rPr>
          <w:sz w:val="24"/>
          <w:szCs w:val="24"/>
        </w:rPr>
        <w:t>1995): “this Court has previously held that the [PFA] Act requires flexibility in the admission of evidence and that prior instances of abuse are relevant and admissible.” (7)</w:t>
      </w:r>
    </w:p>
    <w:p w:rsidR="0053633E" w:rsidRPr="00911B32" w:rsidRDefault="0053633E" w:rsidP="00911B32">
      <w:pPr>
        <w:pStyle w:val="ListParagraph"/>
        <w:numPr>
          <w:ilvl w:val="0"/>
          <w:numId w:val="5"/>
        </w:numPr>
        <w:spacing w:after="0"/>
        <w:rPr>
          <w:b/>
          <w:sz w:val="24"/>
          <w:szCs w:val="24"/>
        </w:rPr>
      </w:pPr>
      <w:r>
        <w:rPr>
          <w:b/>
          <w:sz w:val="24"/>
          <w:szCs w:val="24"/>
        </w:rPr>
        <w:t>PA 23 C.S.A. Section 6103:</w:t>
      </w:r>
      <w:r>
        <w:rPr>
          <w:sz w:val="24"/>
          <w:szCs w:val="24"/>
        </w:rPr>
        <w:t xml:space="preserve">  “The right of plaintiff to relief . . . shall not be affected by plaintiff leaving the residence or household to avoid further abuse.” (7)</w:t>
      </w:r>
    </w:p>
    <w:p w:rsidR="0015215A" w:rsidRDefault="0015215A" w:rsidP="0010547E">
      <w:pPr>
        <w:spacing w:after="0"/>
        <w:rPr>
          <w:b/>
          <w:sz w:val="24"/>
          <w:szCs w:val="24"/>
        </w:rPr>
      </w:pPr>
    </w:p>
    <w:sectPr w:rsidR="0015215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56E7" w:rsidRDefault="003856E7" w:rsidP="00E16E68">
      <w:pPr>
        <w:spacing w:after="0" w:line="240" w:lineRule="auto"/>
      </w:pPr>
      <w:r>
        <w:separator/>
      </w:r>
    </w:p>
  </w:endnote>
  <w:endnote w:type="continuationSeparator" w:id="0">
    <w:p w:rsidR="003856E7" w:rsidRDefault="003856E7"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56E7" w:rsidRDefault="003856E7" w:rsidP="00E16E68">
      <w:pPr>
        <w:spacing w:after="0" w:line="240" w:lineRule="auto"/>
      </w:pPr>
      <w:r>
        <w:separator/>
      </w:r>
    </w:p>
  </w:footnote>
  <w:footnote w:type="continuationSeparator" w:id="0">
    <w:p w:rsidR="003856E7" w:rsidRDefault="003856E7"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4C42D1">
      <w:t>2005</w:t>
    </w:r>
    <w:r w:rsidR="00E16E68">
      <w:tab/>
    </w:r>
    <w:r w:rsidR="004C42D1">
      <w:t>Hood-O’Hara v. Wills</w:t>
    </w:r>
  </w:p>
  <w:p w:rsidR="00F95A0E" w:rsidRDefault="00F95A0E" w:rsidP="00F95A0E">
    <w:pPr>
      <w:pStyle w:val="Header"/>
      <w:jc w:val="right"/>
    </w:pPr>
    <w:r>
      <w:tab/>
    </w:r>
    <w:r>
      <w:tab/>
    </w:r>
    <w:r w:rsidR="0053633E">
      <w:t>LAUNDRY LIST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C20D5"/>
    <w:multiLevelType w:val="hybridMultilevel"/>
    <w:tmpl w:val="4F7A62DA"/>
    <w:lvl w:ilvl="0" w:tplc="D128874E">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A410300"/>
    <w:multiLevelType w:val="hybridMultilevel"/>
    <w:tmpl w:val="396A28B8"/>
    <w:lvl w:ilvl="0" w:tplc="99B65C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BA65466"/>
    <w:multiLevelType w:val="hybridMultilevel"/>
    <w:tmpl w:val="68A8573A"/>
    <w:lvl w:ilvl="0" w:tplc="3FB46F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26D1"/>
    <w:rsid w:val="0016476D"/>
    <w:rsid w:val="003856E7"/>
    <w:rsid w:val="004C42D1"/>
    <w:rsid w:val="0053633E"/>
    <w:rsid w:val="005F2C53"/>
    <w:rsid w:val="00692188"/>
    <w:rsid w:val="006A18CC"/>
    <w:rsid w:val="007B337C"/>
    <w:rsid w:val="00911B32"/>
    <w:rsid w:val="009645CA"/>
    <w:rsid w:val="00A20DAD"/>
    <w:rsid w:val="00A41926"/>
    <w:rsid w:val="00A56A0E"/>
    <w:rsid w:val="00AA40E8"/>
    <w:rsid w:val="00C5621B"/>
    <w:rsid w:val="00C77FD5"/>
    <w:rsid w:val="00E16E68"/>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473</Words>
  <Characters>2697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cp:lastPrinted>2016-10-19T14:31:00Z</cp:lastPrinted>
  <dcterms:created xsi:type="dcterms:W3CDTF">2016-11-12T20:08:00Z</dcterms:created>
  <dcterms:modified xsi:type="dcterms:W3CDTF">2016-11-12T20:38:00Z</dcterms:modified>
</cp:coreProperties>
</file>