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F46F8B">
        <w:rPr>
          <w:sz w:val="24"/>
          <w:szCs w:val="24"/>
        </w:rPr>
        <w:t>Rhonda Miller, OBO the minor children Joshua Walker and Crystal Walker, v. Lawrence Walker, Sr., Appellant</w:t>
      </w:r>
    </w:p>
    <w:p w:rsidR="00E16E68" w:rsidRPr="000933B7" w:rsidRDefault="00E16E68" w:rsidP="00E16E68">
      <w:pPr>
        <w:rPr>
          <w:sz w:val="24"/>
          <w:szCs w:val="24"/>
        </w:rPr>
      </w:pPr>
      <w:r>
        <w:rPr>
          <w:b/>
          <w:sz w:val="24"/>
          <w:szCs w:val="24"/>
        </w:rPr>
        <w:t>Judge:</w:t>
      </w:r>
      <w:r>
        <w:rPr>
          <w:b/>
          <w:sz w:val="24"/>
          <w:szCs w:val="24"/>
        </w:rPr>
        <w:tab/>
      </w:r>
      <w:r w:rsidR="00F46F8B">
        <w:rPr>
          <w:sz w:val="24"/>
          <w:szCs w:val="24"/>
        </w:rPr>
        <w:t xml:space="preserve">J. </w:t>
      </w:r>
      <w:proofErr w:type="spellStart"/>
      <w:r w:rsidR="00F46F8B">
        <w:rPr>
          <w:sz w:val="24"/>
          <w:szCs w:val="24"/>
        </w:rPr>
        <w:t>Cercone</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F46F8B">
        <w:rPr>
          <w:sz w:val="24"/>
          <w:szCs w:val="24"/>
        </w:rPr>
        <w:t>1995</w:t>
      </w:r>
    </w:p>
    <w:p w:rsidR="00E16E68" w:rsidRPr="000933B7" w:rsidRDefault="00E16E68" w:rsidP="00E16E68">
      <w:pPr>
        <w:rPr>
          <w:sz w:val="24"/>
          <w:szCs w:val="24"/>
        </w:rPr>
      </w:pPr>
      <w:r>
        <w:rPr>
          <w:b/>
          <w:sz w:val="24"/>
          <w:szCs w:val="24"/>
        </w:rPr>
        <w:t>Tags:</w:t>
      </w:r>
      <w:r w:rsidR="000933B7">
        <w:rPr>
          <w:sz w:val="24"/>
          <w:szCs w:val="24"/>
        </w:rPr>
        <w:t xml:space="preserve"> </w:t>
      </w:r>
      <w:r w:rsidR="00BA2BE2">
        <w:rPr>
          <w:sz w:val="24"/>
          <w:szCs w:val="24"/>
        </w:rPr>
        <w:t>PFA, OBO, corporal punishment, definition of abuse, CPSL</w:t>
      </w:r>
    </w:p>
    <w:p w:rsidR="00E16E68" w:rsidRPr="000933B7" w:rsidRDefault="00E16E68" w:rsidP="00E16E68">
      <w:pPr>
        <w:rPr>
          <w:sz w:val="24"/>
          <w:szCs w:val="24"/>
        </w:rPr>
      </w:pPr>
      <w:r>
        <w:rPr>
          <w:b/>
          <w:sz w:val="24"/>
          <w:szCs w:val="24"/>
        </w:rPr>
        <w:t>Facts:</w:t>
      </w:r>
      <w:r w:rsidR="000933B7">
        <w:rPr>
          <w:sz w:val="24"/>
          <w:szCs w:val="24"/>
        </w:rPr>
        <w:t xml:space="preserve"> </w:t>
      </w:r>
      <w:r w:rsidR="00F46F8B">
        <w:rPr>
          <w:sz w:val="24"/>
          <w:szCs w:val="24"/>
        </w:rPr>
        <w:t>Mother filed OBO children after father’s discipline with a board left son with bruises.  Final order granted legal custody of children to mother, supervised visitations for father.</w:t>
      </w:r>
    </w:p>
    <w:p w:rsidR="0010547E" w:rsidRDefault="00E16E68" w:rsidP="0015215A">
      <w:pPr>
        <w:spacing w:after="0"/>
        <w:rPr>
          <w:sz w:val="24"/>
          <w:szCs w:val="24"/>
        </w:rPr>
      </w:pPr>
      <w:r>
        <w:rPr>
          <w:b/>
          <w:sz w:val="24"/>
          <w:szCs w:val="24"/>
        </w:rPr>
        <w:t>Gravamen/Question(s) at issue:</w:t>
      </w:r>
      <w:r w:rsidR="000933B7">
        <w:rPr>
          <w:sz w:val="24"/>
          <w:szCs w:val="24"/>
        </w:rPr>
        <w:t xml:space="preserve"> </w:t>
      </w:r>
    </w:p>
    <w:p w:rsidR="00F46F8B" w:rsidRDefault="00F46F8B" w:rsidP="00F46F8B">
      <w:pPr>
        <w:pStyle w:val="ListParagraph"/>
        <w:numPr>
          <w:ilvl w:val="0"/>
          <w:numId w:val="3"/>
        </w:numPr>
        <w:spacing w:after="0"/>
        <w:rPr>
          <w:sz w:val="24"/>
          <w:szCs w:val="24"/>
        </w:rPr>
      </w:pPr>
      <w:r>
        <w:rPr>
          <w:sz w:val="24"/>
          <w:szCs w:val="24"/>
        </w:rPr>
        <w:t>Was abuse established under PFA act?</w:t>
      </w:r>
      <w:r w:rsidR="00E76690">
        <w:rPr>
          <w:sz w:val="24"/>
          <w:szCs w:val="24"/>
        </w:rPr>
        <w:t xml:space="preserve"> (yes – bodily injury)</w:t>
      </w:r>
    </w:p>
    <w:p w:rsidR="00F46F8B" w:rsidRDefault="00F46F8B" w:rsidP="00F46F8B">
      <w:pPr>
        <w:pStyle w:val="ListParagraph"/>
        <w:numPr>
          <w:ilvl w:val="0"/>
          <w:numId w:val="3"/>
        </w:numPr>
        <w:spacing w:after="0"/>
        <w:rPr>
          <w:sz w:val="24"/>
          <w:szCs w:val="24"/>
        </w:rPr>
      </w:pPr>
      <w:r>
        <w:rPr>
          <w:sz w:val="24"/>
          <w:szCs w:val="24"/>
        </w:rPr>
        <w:t>Was this an allowable exercise of reasonable corporal punishment?</w:t>
      </w:r>
      <w:r w:rsidR="009521B5">
        <w:rPr>
          <w:sz w:val="24"/>
          <w:szCs w:val="24"/>
        </w:rPr>
        <w:t xml:space="preserve"> (no)</w:t>
      </w:r>
    </w:p>
    <w:p w:rsidR="00F46F8B" w:rsidRDefault="00F46F8B" w:rsidP="00F46F8B">
      <w:pPr>
        <w:pStyle w:val="ListParagraph"/>
        <w:numPr>
          <w:ilvl w:val="0"/>
          <w:numId w:val="3"/>
        </w:numPr>
        <w:spacing w:after="0"/>
        <w:rPr>
          <w:sz w:val="24"/>
          <w:szCs w:val="24"/>
        </w:rPr>
      </w:pPr>
      <w:r>
        <w:rPr>
          <w:sz w:val="24"/>
          <w:szCs w:val="24"/>
        </w:rPr>
        <w:t>Should court have admitted evidence of prior acts of abuse?</w:t>
      </w:r>
      <w:r w:rsidR="00BA2BE2">
        <w:rPr>
          <w:sz w:val="24"/>
          <w:szCs w:val="24"/>
        </w:rPr>
        <w:t xml:space="preserve"> (yes)</w:t>
      </w:r>
    </w:p>
    <w:p w:rsidR="00F46F8B" w:rsidRPr="00F46F8B" w:rsidRDefault="00F46F8B" w:rsidP="00F46F8B">
      <w:pPr>
        <w:pStyle w:val="ListParagraph"/>
        <w:numPr>
          <w:ilvl w:val="0"/>
          <w:numId w:val="3"/>
        </w:numPr>
        <w:spacing w:after="0"/>
        <w:rPr>
          <w:sz w:val="24"/>
          <w:szCs w:val="24"/>
        </w:rPr>
      </w:pPr>
      <w:r>
        <w:rPr>
          <w:sz w:val="24"/>
          <w:szCs w:val="24"/>
        </w:rPr>
        <w:t>Is a PFA order a final order subject to appeal as of right?</w:t>
      </w:r>
      <w:r w:rsidR="00E76690">
        <w:rPr>
          <w:sz w:val="24"/>
          <w:szCs w:val="24"/>
        </w:rPr>
        <w:t xml:space="preserve"> (yes)</w:t>
      </w:r>
    </w:p>
    <w:p w:rsidR="0015215A" w:rsidRPr="0010547E" w:rsidRDefault="0015215A" w:rsidP="0015215A">
      <w:pPr>
        <w:spacing w:after="0"/>
        <w:rPr>
          <w:sz w:val="24"/>
          <w:szCs w:val="24"/>
        </w:rPr>
      </w:pPr>
    </w:p>
    <w:p w:rsidR="0015215A" w:rsidRDefault="00E16E68" w:rsidP="00E76690">
      <w:pPr>
        <w:spacing w:after="0"/>
        <w:rPr>
          <w:sz w:val="24"/>
          <w:szCs w:val="24"/>
        </w:rPr>
      </w:pPr>
      <w:r>
        <w:rPr>
          <w:b/>
          <w:sz w:val="24"/>
          <w:szCs w:val="24"/>
        </w:rPr>
        <w:t>Holdings:</w:t>
      </w:r>
      <w:r w:rsidR="000933B7">
        <w:rPr>
          <w:sz w:val="24"/>
          <w:szCs w:val="24"/>
        </w:rPr>
        <w:t xml:space="preserve"> </w:t>
      </w:r>
    </w:p>
    <w:p w:rsidR="00E76690" w:rsidRDefault="00E76690" w:rsidP="00E76690">
      <w:pPr>
        <w:pStyle w:val="ListParagraph"/>
        <w:numPr>
          <w:ilvl w:val="0"/>
          <w:numId w:val="6"/>
        </w:numPr>
        <w:spacing w:after="0"/>
        <w:rPr>
          <w:sz w:val="24"/>
          <w:szCs w:val="24"/>
        </w:rPr>
      </w:pPr>
      <w:r>
        <w:rPr>
          <w:sz w:val="24"/>
          <w:szCs w:val="24"/>
        </w:rPr>
        <w:t>Evidence was sufficient to establish existence of bodily injury by preponderance of the evidence.</w:t>
      </w:r>
    </w:p>
    <w:p w:rsidR="009521B5" w:rsidRDefault="009521B5" w:rsidP="00E76690">
      <w:pPr>
        <w:pStyle w:val="ListParagraph"/>
        <w:numPr>
          <w:ilvl w:val="0"/>
          <w:numId w:val="6"/>
        </w:numPr>
        <w:spacing w:after="0"/>
        <w:rPr>
          <w:sz w:val="24"/>
          <w:szCs w:val="24"/>
        </w:rPr>
      </w:pPr>
      <w:r>
        <w:rPr>
          <w:sz w:val="24"/>
          <w:szCs w:val="24"/>
        </w:rPr>
        <w:t>Corporal punishment must not cause bodily injury</w:t>
      </w:r>
      <w:r w:rsidR="00B126B1">
        <w:rPr>
          <w:sz w:val="24"/>
          <w:szCs w:val="24"/>
        </w:rPr>
        <w:t>; PFA Act does not require “serious physical injury” like CPSL.</w:t>
      </w:r>
    </w:p>
    <w:p w:rsidR="00BA2BE2" w:rsidRPr="00E76690" w:rsidRDefault="00BA2BE2" w:rsidP="00E76690">
      <w:pPr>
        <w:pStyle w:val="ListParagraph"/>
        <w:numPr>
          <w:ilvl w:val="0"/>
          <w:numId w:val="6"/>
        </w:numPr>
        <w:spacing w:after="0"/>
        <w:rPr>
          <w:sz w:val="24"/>
          <w:szCs w:val="24"/>
        </w:rPr>
      </w:pPr>
      <w:r>
        <w:rPr>
          <w:sz w:val="24"/>
          <w:szCs w:val="24"/>
        </w:rPr>
        <w:t>Trial court may admit evidence of past bad acts.</w:t>
      </w:r>
    </w:p>
    <w:p w:rsidR="00B126B1" w:rsidRDefault="00E16E68" w:rsidP="00B126B1">
      <w:pPr>
        <w:spacing w:after="0"/>
        <w:rPr>
          <w:sz w:val="24"/>
          <w:szCs w:val="24"/>
        </w:rPr>
      </w:pPr>
      <w:r>
        <w:rPr>
          <w:b/>
          <w:sz w:val="24"/>
          <w:szCs w:val="24"/>
        </w:rPr>
        <w:t>Rationale:</w:t>
      </w:r>
      <w:r w:rsidR="0010547E">
        <w:rPr>
          <w:sz w:val="24"/>
          <w:szCs w:val="24"/>
        </w:rPr>
        <w:t xml:space="preserve"> </w:t>
      </w:r>
    </w:p>
    <w:p w:rsidR="00B126B1" w:rsidRDefault="00B126B1" w:rsidP="00B126B1">
      <w:pPr>
        <w:pStyle w:val="ListParagraph"/>
        <w:numPr>
          <w:ilvl w:val="0"/>
          <w:numId w:val="8"/>
        </w:numPr>
        <w:spacing w:after="0"/>
        <w:rPr>
          <w:sz w:val="24"/>
          <w:szCs w:val="24"/>
        </w:rPr>
      </w:pPr>
      <w:r>
        <w:rPr>
          <w:sz w:val="24"/>
          <w:szCs w:val="24"/>
        </w:rPr>
        <w:t>(2) PFA Act differs from CPSL Act because PFA requires removal of the abuser, while CPSL can result in removal of child.</w:t>
      </w:r>
      <w:r w:rsidR="00BA2BE2">
        <w:rPr>
          <w:sz w:val="24"/>
          <w:szCs w:val="24"/>
        </w:rPr>
        <w:t xml:space="preserve">  PFA definition of abuse is broader than CPSL.</w:t>
      </w:r>
    </w:p>
    <w:p w:rsidR="00BA2BE2" w:rsidRPr="00B126B1" w:rsidRDefault="00BA2BE2" w:rsidP="00B126B1">
      <w:pPr>
        <w:pStyle w:val="ListParagraph"/>
        <w:numPr>
          <w:ilvl w:val="0"/>
          <w:numId w:val="8"/>
        </w:numPr>
        <w:spacing w:after="0"/>
        <w:rPr>
          <w:sz w:val="24"/>
          <w:szCs w:val="24"/>
        </w:rPr>
      </w:pPr>
      <w:r>
        <w:rPr>
          <w:sz w:val="24"/>
          <w:szCs w:val="24"/>
        </w:rPr>
        <w:t>(3) Trial court may admit any evidence necessary to establish appropriateness of PFA order.</w:t>
      </w:r>
    </w:p>
    <w:p w:rsidR="00BA2BE2" w:rsidRDefault="00BA2BE2" w:rsidP="009521B5">
      <w:pPr>
        <w:spacing w:after="0"/>
        <w:rPr>
          <w:b/>
          <w:sz w:val="24"/>
          <w:szCs w:val="24"/>
        </w:rPr>
      </w:pPr>
    </w:p>
    <w:p w:rsidR="0015215A" w:rsidRDefault="0015215A" w:rsidP="009521B5">
      <w:pPr>
        <w:spacing w:after="0"/>
        <w:rPr>
          <w:sz w:val="24"/>
          <w:szCs w:val="24"/>
        </w:rPr>
      </w:pPr>
      <w:r>
        <w:rPr>
          <w:b/>
          <w:sz w:val="24"/>
          <w:szCs w:val="24"/>
        </w:rPr>
        <w:t>Dicta:</w:t>
      </w:r>
    </w:p>
    <w:p w:rsidR="009521B5" w:rsidRPr="009521B5" w:rsidRDefault="009521B5" w:rsidP="009521B5">
      <w:pPr>
        <w:pStyle w:val="ListParagraph"/>
        <w:numPr>
          <w:ilvl w:val="0"/>
          <w:numId w:val="7"/>
        </w:numPr>
        <w:spacing w:after="0"/>
        <w:rPr>
          <w:sz w:val="24"/>
          <w:szCs w:val="24"/>
        </w:rPr>
      </w:pPr>
      <w:proofErr w:type="gramStart"/>
      <w:r>
        <w:rPr>
          <w:color w:val="171E22"/>
        </w:rPr>
        <w:t>“</w:t>
      </w:r>
      <w:r>
        <w:rPr>
          <w:rStyle w:val="apple-converted-space"/>
          <w:color w:val="171E22"/>
        </w:rPr>
        <w:t> </w:t>
      </w:r>
      <w:r>
        <w:rPr>
          <w:rStyle w:val="text"/>
          <w:color w:val="171E22"/>
        </w:rPr>
        <w:t>The</w:t>
      </w:r>
      <w:proofErr w:type="gramEnd"/>
      <w:r>
        <w:rPr>
          <w:rStyle w:val="text"/>
          <w:color w:val="171E22"/>
        </w:rPr>
        <w:t xml:space="preserve"> trial court clearly acted properly in assessing the credibility of the witnesses, and the evidence supports the trial court's finding.</w:t>
      </w:r>
      <w:r>
        <w:rPr>
          <w:color w:val="171E22"/>
        </w:rPr>
        <w:t>”</w:t>
      </w:r>
      <w:r>
        <w:rPr>
          <w:rStyle w:val="apple-converted-space"/>
          <w:color w:val="171E22"/>
        </w:rPr>
        <w:t> </w:t>
      </w:r>
      <w:r>
        <w:rPr>
          <w:i/>
          <w:iCs/>
          <w:color w:val="171E22"/>
        </w:rPr>
        <w:t>Miller on Behalf of Walker v. Walker</w:t>
      </w:r>
      <w:r>
        <w:rPr>
          <w:color w:val="171E22"/>
        </w:rPr>
        <w:t>, 445 Pa. Super. 537, 545 (Pa. Super. Ct. 1995)</w:t>
      </w:r>
    </w:p>
    <w:p w:rsidR="009521B5" w:rsidRPr="009521B5" w:rsidRDefault="009521B5" w:rsidP="009521B5">
      <w:pPr>
        <w:pStyle w:val="blockquote"/>
        <w:numPr>
          <w:ilvl w:val="0"/>
          <w:numId w:val="7"/>
        </w:numPr>
        <w:spacing w:before="0" w:beforeAutospacing="0" w:after="150" w:afterAutospacing="0"/>
        <w:rPr>
          <w:color w:val="171E22"/>
        </w:rPr>
      </w:pPr>
      <w:r w:rsidRPr="009521B5">
        <w:rPr>
          <w:color w:val="171E22"/>
        </w:rPr>
        <w:t xml:space="preserve">“The remedies provided by the Protection from Abuse Act allow the removal of the abusing family member from the household so that additional injury to the victim does not occur. Obviously, the intent is to allow persons to reside peaceably and without fear of injury within their own families or residences.” </w:t>
      </w:r>
      <w:r w:rsidRPr="009521B5">
        <w:rPr>
          <w:i/>
          <w:iCs/>
          <w:color w:val="171E22"/>
        </w:rPr>
        <w:t>Miller on Behalf of Walker v. Walker</w:t>
      </w:r>
      <w:r w:rsidRPr="009521B5">
        <w:rPr>
          <w:color w:val="171E22"/>
        </w:rPr>
        <w:t>, 445 Pa. Super. 537, 546 (Pa. Super. Ct. 1995)</w:t>
      </w:r>
    </w:p>
    <w:p w:rsidR="009521B5" w:rsidRPr="00BA2BE2" w:rsidRDefault="00BA2BE2" w:rsidP="009521B5">
      <w:pPr>
        <w:pStyle w:val="ListParagraph"/>
        <w:numPr>
          <w:ilvl w:val="0"/>
          <w:numId w:val="7"/>
        </w:numPr>
        <w:spacing w:after="0"/>
        <w:rPr>
          <w:sz w:val="24"/>
          <w:szCs w:val="24"/>
        </w:rPr>
      </w:pPr>
      <w:r>
        <w:rPr>
          <w:color w:val="171E22"/>
        </w:rPr>
        <w:t>“…for a remedy to be available under the Protection from Abuse Act, it is not necessary that the physical harm to the child be as serious as that which is required for a child to be removed from his home and placed in protective custody.”</w:t>
      </w:r>
      <w:r>
        <w:rPr>
          <w:rStyle w:val="apple-converted-space"/>
          <w:color w:val="171E22"/>
        </w:rPr>
        <w:t> </w:t>
      </w:r>
      <w:r>
        <w:rPr>
          <w:i/>
          <w:iCs/>
          <w:color w:val="171E22"/>
        </w:rPr>
        <w:t>Miller on Behalf of Walker v. Walker</w:t>
      </w:r>
      <w:r>
        <w:rPr>
          <w:color w:val="171E22"/>
        </w:rPr>
        <w:t>, 445 Pa. Super. 537, 549 (Pa. Super. Ct. 1995)</w:t>
      </w:r>
    </w:p>
    <w:p w:rsidR="00BA2BE2" w:rsidRPr="00BA2BE2" w:rsidRDefault="00BA2BE2" w:rsidP="009521B5">
      <w:pPr>
        <w:pStyle w:val="ListParagraph"/>
        <w:numPr>
          <w:ilvl w:val="0"/>
          <w:numId w:val="7"/>
        </w:numPr>
        <w:spacing w:after="0"/>
        <w:rPr>
          <w:sz w:val="24"/>
          <w:szCs w:val="24"/>
        </w:rPr>
      </w:pPr>
      <w:proofErr w:type="gramStart"/>
      <w:r>
        <w:rPr>
          <w:color w:val="171E22"/>
        </w:rPr>
        <w:t>“</w:t>
      </w:r>
      <w:r>
        <w:rPr>
          <w:rStyle w:val="apple-converted-space"/>
          <w:color w:val="171E22"/>
        </w:rPr>
        <w:t> </w:t>
      </w:r>
      <w:r>
        <w:rPr>
          <w:rStyle w:val="text"/>
          <w:color w:val="171E22"/>
        </w:rPr>
        <w:t>The</w:t>
      </w:r>
      <w:proofErr w:type="gramEnd"/>
      <w:r>
        <w:rPr>
          <w:rStyle w:val="text"/>
          <w:color w:val="171E22"/>
        </w:rPr>
        <w:t xml:space="preserve"> Protection from Abuse Act does not outlaw corporal punishment by a parent. However, the Act will permit a remedy for bodily injury to a family or household member </w:t>
      </w:r>
      <w:proofErr w:type="gramStart"/>
      <w:r>
        <w:rPr>
          <w:rStyle w:val="text"/>
          <w:color w:val="171E22"/>
        </w:rPr>
        <w:t>which</w:t>
      </w:r>
      <w:proofErr w:type="gramEnd"/>
      <w:r>
        <w:rPr>
          <w:rStyle w:val="text"/>
          <w:color w:val="171E22"/>
        </w:rPr>
        <w:t xml:space="preserve"> is inflicted intentionally, knowingly, or recklessly.</w:t>
      </w:r>
      <w:r>
        <w:rPr>
          <w:color w:val="171E22"/>
        </w:rPr>
        <w:t>”</w:t>
      </w:r>
      <w:r>
        <w:rPr>
          <w:rStyle w:val="apple-converted-space"/>
          <w:color w:val="171E22"/>
        </w:rPr>
        <w:t> </w:t>
      </w:r>
      <w:r>
        <w:rPr>
          <w:i/>
          <w:iCs/>
          <w:color w:val="171E22"/>
        </w:rPr>
        <w:t>Miller on Behalf of Walker v. Walker</w:t>
      </w:r>
      <w:r>
        <w:rPr>
          <w:color w:val="171E22"/>
        </w:rPr>
        <w:t>, 445 Pa. Super. 537, 550 (Pa. Super. Ct. 1995)</w:t>
      </w:r>
    </w:p>
    <w:p w:rsidR="00BA2BE2" w:rsidRPr="009521B5" w:rsidRDefault="00BA2BE2" w:rsidP="009521B5">
      <w:pPr>
        <w:pStyle w:val="ListParagraph"/>
        <w:numPr>
          <w:ilvl w:val="0"/>
          <w:numId w:val="7"/>
        </w:numPr>
        <w:spacing w:after="0"/>
        <w:rPr>
          <w:sz w:val="24"/>
          <w:szCs w:val="24"/>
        </w:rPr>
      </w:pPr>
      <w:r>
        <w:rPr>
          <w:sz w:val="24"/>
          <w:szCs w:val="24"/>
        </w:rPr>
        <w:lastRenderedPageBreak/>
        <w:t>“Past abusive conduct on the appellant’s part was a crucial inquiry necessary for entry of a proper order.”</w:t>
      </w:r>
    </w:p>
    <w:p w:rsidR="0015215A" w:rsidRDefault="0015215A" w:rsidP="0010547E">
      <w:pPr>
        <w:spacing w:after="0"/>
        <w:rPr>
          <w:b/>
          <w:sz w:val="24"/>
          <w:szCs w:val="24"/>
        </w:rPr>
      </w:pPr>
    </w:p>
    <w:p w:rsidR="00E16E68" w:rsidRDefault="00E16E68" w:rsidP="0010547E">
      <w:pPr>
        <w:spacing w:after="0"/>
        <w:rPr>
          <w:sz w:val="24"/>
          <w:szCs w:val="24"/>
        </w:rPr>
      </w:pPr>
      <w:r>
        <w:rPr>
          <w:b/>
          <w:sz w:val="24"/>
          <w:szCs w:val="24"/>
        </w:rPr>
        <w:t>Attorneys’ Arguments:</w:t>
      </w:r>
    </w:p>
    <w:p w:rsidR="009521B5" w:rsidRDefault="009521B5" w:rsidP="009521B5">
      <w:pPr>
        <w:pStyle w:val="ListParagraph"/>
        <w:numPr>
          <w:ilvl w:val="0"/>
          <w:numId w:val="7"/>
        </w:numPr>
        <w:spacing w:after="0"/>
        <w:rPr>
          <w:sz w:val="24"/>
          <w:szCs w:val="24"/>
        </w:rPr>
      </w:pPr>
      <w:r>
        <w:rPr>
          <w:sz w:val="24"/>
          <w:szCs w:val="24"/>
        </w:rPr>
        <w:t>Defendant’s actions did not rise to the level of criminal culpability, so this wasn’t outside the bounds of permissible corporal punishment.</w:t>
      </w:r>
    </w:p>
    <w:p w:rsidR="009521B5" w:rsidRPr="009521B5" w:rsidRDefault="009521B5" w:rsidP="009521B5">
      <w:pPr>
        <w:pStyle w:val="ListParagraph"/>
        <w:numPr>
          <w:ilvl w:val="0"/>
          <w:numId w:val="7"/>
        </w:numPr>
        <w:spacing w:after="0"/>
        <w:rPr>
          <w:sz w:val="24"/>
          <w:szCs w:val="24"/>
        </w:rPr>
      </w:pPr>
      <w:r>
        <w:rPr>
          <w:sz w:val="24"/>
          <w:szCs w:val="24"/>
        </w:rPr>
        <w:t xml:space="preserve">Since PFA Act references </w:t>
      </w:r>
      <w:r w:rsidR="00B126B1">
        <w:rPr>
          <w:sz w:val="24"/>
          <w:szCs w:val="24"/>
        </w:rPr>
        <w:t>Protective Services Act, only “serious physical injury” is in view, so this doesn’t count.</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F46F8B" w:rsidRPr="00E76690" w:rsidRDefault="00F46F8B" w:rsidP="00F46F8B">
      <w:pPr>
        <w:pStyle w:val="ListParagraph"/>
        <w:numPr>
          <w:ilvl w:val="0"/>
          <w:numId w:val="5"/>
        </w:numPr>
        <w:spacing w:after="0"/>
        <w:rPr>
          <w:b/>
          <w:sz w:val="24"/>
          <w:szCs w:val="24"/>
        </w:rPr>
      </w:pPr>
      <w:r>
        <w:rPr>
          <w:b/>
          <w:sz w:val="24"/>
          <w:szCs w:val="24"/>
        </w:rPr>
        <w:t>PA R.A.P., Rule 341(a):</w:t>
      </w:r>
      <w:r>
        <w:rPr>
          <w:sz w:val="24"/>
          <w:szCs w:val="24"/>
        </w:rPr>
        <w:t xml:space="preserve">  Defines final order (see Commentary, below)</w:t>
      </w:r>
    </w:p>
    <w:p w:rsidR="00E76690" w:rsidRPr="009521B5" w:rsidRDefault="00E76690" w:rsidP="00F46F8B">
      <w:pPr>
        <w:pStyle w:val="ListParagraph"/>
        <w:numPr>
          <w:ilvl w:val="0"/>
          <w:numId w:val="5"/>
        </w:numPr>
        <w:spacing w:after="0"/>
        <w:rPr>
          <w:b/>
          <w:sz w:val="24"/>
          <w:szCs w:val="24"/>
        </w:rPr>
      </w:pPr>
      <w:r>
        <w:rPr>
          <w:b/>
          <w:sz w:val="24"/>
          <w:szCs w:val="24"/>
        </w:rPr>
        <w:t>23 P.S. 6102(a):</w:t>
      </w:r>
      <w:r>
        <w:rPr>
          <w:sz w:val="24"/>
          <w:szCs w:val="24"/>
        </w:rPr>
        <w:t xml:space="preserve">  Old PFA Act, for definition of “abuse”</w:t>
      </w:r>
      <w:r w:rsidR="009521B5">
        <w:rPr>
          <w:sz w:val="24"/>
          <w:szCs w:val="24"/>
        </w:rPr>
        <w:t xml:space="preserve"> – includes reference to CYS Act definitions</w:t>
      </w:r>
      <w:r w:rsidR="00B126B1">
        <w:rPr>
          <w:sz w:val="24"/>
          <w:szCs w:val="24"/>
        </w:rPr>
        <w:t xml:space="preserve"> </w:t>
      </w:r>
      <w:r w:rsidR="00B126B1">
        <w:rPr>
          <w:b/>
          <w:sz w:val="24"/>
          <w:szCs w:val="24"/>
        </w:rPr>
        <w:t>(6303b)</w:t>
      </w:r>
    </w:p>
    <w:p w:rsidR="009521B5" w:rsidRPr="009521B5" w:rsidRDefault="009521B5" w:rsidP="00F46F8B">
      <w:pPr>
        <w:pStyle w:val="ListParagraph"/>
        <w:numPr>
          <w:ilvl w:val="0"/>
          <w:numId w:val="5"/>
        </w:numPr>
        <w:spacing w:after="0"/>
        <w:rPr>
          <w:b/>
          <w:sz w:val="24"/>
          <w:szCs w:val="24"/>
        </w:rPr>
      </w:pPr>
      <w:r>
        <w:rPr>
          <w:b/>
          <w:sz w:val="24"/>
          <w:szCs w:val="24"/>
        </w:rPr>
        <w:t>18 Pa. C.S.Z. 509:</w:t>
      </w:r>
      <w:r>
        <w:rPr>
          <w:sz w:val="24"/>
          <w:szCs w:val="24"/>
        </w:rPr>
        <w:t xml:space="preserve"> Justifiable corporal punishment</w:t>
      </w:r>
    </w:p>
    <w:p w:rsidR="009521B5" w:rsidRPr="00F46F8B" w:rsidRDefault="009521B5" w:rsidP="00F46F8B">
      <w:pPr>
        <w:pStyle w:val="ListParagraph"/>
        <w:numPr>
          <w:ilvl w:val="0"/>
          <w:numId w:val="5"/>
        </w:numPr>
        <w:spacing w:after="0"/>
        <w:rPr>
          <w:b/>
          <w:sz w:val="24"/>
          <w:szCs w:val="24"/>
        </w:rPr>
      </w:pPr>
      <w:r>
        <w:rPr>
          <w:b/>
          <w:i/>
          <w:sz w:val="24"/>
          <w:szCs w:val="24"/>
        </w:rPr>
        <w:t xml:space="preserve">Weir v Weir </w:t>
      </w:r>
      <w:r>
        <w:rPr>
          <w:b/>
          <w:sz w:val="24"/>
          <w:szCs w:val="24"/>
        </w:rPr>
        <w:t>(1993):</w:t>
      </w:r>
      <w:r>
        <w:rPr>
          <w:sz w:val="24"/>
          <w:szCs w:val="24"/>
        </w:rPr>
        <w:t xml:space="preserve">  PFA provides immediate temporary protection from abuse</w:t>
      </w:r>
    </w:p>
    <w:p w:rsidR="0015215A" w:rsidRDefault="0015215A" w:rsidP="0010547E">
      <w:pPr>
        <w:spacing w:after="0"/>
        <w:rPr>
          <w:b/>
          <w:sz w:val="24"/>
          <w:szCs w:val="24"/>
        </w:rPr>
      </w:pPr>
    </w:p>
    <w:p w:rsidR="0015215A" w:rsidRDefault="0015215A" w:rsidP="0010547E">
      <w:pPr>
        <w:spacing w:after="0"/>
        <w:rPr>
          <w:sz w:val="24"/>
          <w:szCs w:val="24"/>
        </w:rPr>
      </w:pPr>
      <w:r>
        <w:rPr>
          <w:b/>
          <w:sz w:val="24"/>
          <w:szCs w:val="24"/>
        </w:rPr>
        <w:t>Commentary:</w:t>
      </w:r>
    </w:p>
    <w:p w:rsidR="00F46F8B" w:rsidRDefault="00F46F8B" w:rsidP="00F46F8B">
      <w:pPr>
        <w:pStyle w:val="ListParagraph"/>
        <w:numPr>
          <w:ilvl w:val="0"/>
          <w:numId w:val="4"/>
        </w:numPr>
        <w:spacing w:after="0"/>
        <w:rPr>
          <w:sz w:val="24"/>
          <w:szCs w:val="24"/>
        </w:rPr>
      </w:pPr>
      <w:r>
        <w:rPr>
          <w:sz w:val="24"/>
          <w:szCs w:val="24"/>
        </w:rPr>
        <w:t>Any final order…</w:t>
      </w:r>
    </w:p>
    <w:p w:rsidR="00F46F8B" w:rsidRDefault="00F46F8B" w:rsidP="00F46F8B">
      <w:pPr>
        <w:pStyle w:val="ListParagraph"/>
        <w:numPr>
          <w:ilvl w:val="1"/>
          <w:numId w:val="4"/>
        </w:numPr>
        <w:spacing w:after="0"/>
        <w:rPr>
          <w:sz w:val="24"/>
          <w:szCs w:val="24"/>
        </w:rPr>
      </w:pPr>
      <w:r>
        <w:rPr>
          <w:sz w:val="24"/>
          <w:szCs w:val="24"/>
        </w:rPr>
        <w:t>Disposes of all claims or of all parties; or</w:t>
      </w:r>
    </w:p>
    <w:p w:rsidR="00F46F8B" w:rsidRDefault="00F46F8B" w:rsidP="00F46F8B">
      <w:pPr>
        <w:pStyle w:val="ListParagraph"/>
        <w:numPr>
          <w:ilvl w:val="1"/>
          <w:numId w:val="4"/>
        </w:numPr>
        <w:spacing w:after="0"/>
        <w:rPr>
          <w:sz w:val="24"/>
          <w:szCs w:val="24"/>
        </w:rPr>
      </w:pPr>
      <w:r>
        <w:rPr>
          <w:sz w:val="24"/>
          <w:szCs w:val="24"/>
        </w:rPr>
        <w:t>Is expressly defined as final by statute; or</w:t>
      </w:r>
    </w:p>
    <w:p w:rsidR="00F46F8B" w:rsidRPr="00F46F8B" w:rsidRDefault="00F46F8B" w:rsidP="00F46F8B">
      <w:pPr>
        <w:pStyle w:val="ListParagraph"/>
        <w:numPr>
          <w:ilvl w:val="1"/>
          <w:numId w:val="4"/>
        </w:numPr>
        <w:spacing w:after="0"/>
        <w:rPr>
          <w:sz w:val="24"/>
          <w:szCs w:val="24"/>
        </w:rPr>
      </w:pPr>
      <w:r>
        <w:rPr>
          <w:sz w:val="24"/>
          <w:szCs w:val="24"/>
        </w:rPr>
        <w:t xml:space="preserve">Is entered as a final order pursuant to section (c), which talks about more than one claim for relief presented in an action – in which case, </w:t>
      </w:r>
      <w:r w:rsidR="00E76690">
        <w:rPr>
          <w:sz w:val="24"/>
          <w:szCs w:val="24"/>
        </w:rPr>
        <w:t xml:space="preserve">the court may enter a final order as to fewer than all of the claims if an immediate appeal would facilitate resolution of the entire case.  (Otherwise, adjudicating less than all of the claims </w:t>
      </w:r>
      <w:proofErr w:type="gramStart"/>
      <w:r w:rsidR="00E76690">
        <w:rPr>
          <w:sz w:val="24"/>
          <w:szCs w:val="24"/>
        </w:rPr>
        <w:t>doesn’t</w:t>
      </w:r>
      <w:proofErr w:type="gramEnd"/>
      <w:r w:rsidR="00E76690">
        <w:rPr>
          <w:sz w:val="24"/>
          <w:szCs w:val="24"/>
        </w:rPr>
        <w:t xml:space="preserve"> constitute a final order.)</w:t>
      </w:r>
    </w:p>
    <w:sectPr w:rsidR="00F46F8B" w:rsidRPr="00F46F8B"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6C77" w:rsidRDefault="00B96C77" w:rsidP="00E16E68">
      <w:pPr>
        <w:spacing w:after="0" w:line="240" w:lineRule="auto"/>
      </w:pPr>
      <w:r>
        <w:separator/>
      </w:r>
    </w:p>
  </w:endnote>
  <w:endnote w:type="continuationSeparator" w:id="0">
    <w:p w:rsidR="00B96C77" w:rsidRDefault="00B96C77"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6C77" w:rsidRDefault="00B96C77" w:rsidP="00E16E68">
      <w:pPr>
        <w:spacing w:after="0" w:line="240" w:lineRule="auto"/>
      </w:pPr>
      <w:r>
        <w:separator/>
      </w:r>
    </w:p>
  </w:footnote>
  <w:footnote w:type="continuationSeparator" w:id="0">
    <w:p w:rsidR="00B96C77" w:rsidRDefault="00B96C77"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F46F8B">
      <w:t>1995</w:t>
    </w:r>
    <w:r w:rsidR="00E16E68">
      <w:tab/>
    </w:r>
    <w:r w:rsidR="00F46F8B">
      <w:t>Miller OBO Walker v. Walker</w:t>
    </w:r>
  </w:p>
  <w:p w:rsidR="00F95A0E" w:rsidRDefault="00F95A0E" w:rsidP="00F95A0E">
    <w:pPr>
      <w:pStyle w:val="Header"/>
      <w:jc w:val="right"/>
    </w:pPr>
    <w:r>
      <w:tab/>
    </w:r>
    <w:r>
      <w:tab/>
    </w:r>
    <w:r w:rsidR="00BA2BE2">
      <w:t>CORPORAL PUNISHMENT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00F6F"/>
    <w:multiLevelType w:val="hybridMultilevel"/>
    <w:tmpl w:val="C5084D4A"/>
    <w:lvl w:ilvl="0" w:tplc="A4BA0D2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93E0AFB"/>
    <w:multiLevelType w:val="hybridMultilevel"/>
    <w:tmpl w:val="79288464"/>
    <w:lvl w:ilvl="0" w:tplc="055035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79111B3"/>
    <w:multiLevelType w:val="hybridMultilevel"/>
    <w:tmpl w:val="1AF4727E"/>
    <w:lvl w:ilvl="0" w:tplc="5442CF88">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AFA0C1A"/>
    <w:multiLevelType w:val="hybridMultilevel"/>
    <w:tmpl w:val="F17CCDC2"/>
    <w:lvl w:ilvl="0" w:tplc="ABEE51DC">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5A6515F"/>
    <w:multiLevelType w:val="hybridMultilevel"/>
    <w:tmpl w:val="A6D8253A"/>
    <w:lvl w:ilvl="0" w:tplc="AB6CFDF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AB74541"/>
    <w:multiLevelType w:val="hybridMultilevel"/>
    <w:tmpl w:val="6A56CC40"/>
    <w:lvl w:ilvl="0" w:tplc="08DC2F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
  </w:num>
  <w:num w:numId="3">
    <w:abstractNumId w:val="6"/>
  </w:num>
  <w:num w:numId="4">
    <w:abstractNumId w:val="4"/>
  </w:num>
  <w:num w:numId="5">
    <w:abstractNumId w:val="3"/>
  </w:num>
  <w:num w:numId="6">
    <w:abstractNumId w:val="2"/>
  </w:num>
  <w:num w:numId="7">
    <w:abstractNumId w:val="5"/>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5F2C53"/>
    <w:rsid w:val="00692188"/>
    <w:rsid w:val="006A18CC"/>
    <w:rsid w:val="007B337C"/>
    <w:rsid w:val="009521B5"/>
    <w:rsid w:val="009645CA"/>
    <w:rsid w:val="00A20DAD"/>
    <w:rsid w:val="00A41926"/>
    <w:rsid w:val="00A56A0E"/>
    <w:rsid w:val="00AA40E8"/>
    <w:rsid w:val="00B126B1"/>
    <w:rsid w:val="00B96C77"/>
    <w:rsid w:val="00BA2BE2"/>
    <w:rsid w:val="00C5621B"/>
    <w:rsid w:val="00C900FC"/>
    <w:rsid w:val="00E16E68"/>
    <w:rsid w:val="00E76690"/>
    <w:rsid w:val="00F46F8B"/>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9521B5"/>
  </w:style>
  <w:style w:type="character" w:customStyle="1" w:styleId="text">
    <w:name w:val="text"/>
    <w:basedOn w:val="DefaultParagraphFont"/>
    <w:rsid w:val="009521B5"/>
  </w:style>
  <w:style w:type="paragraph" w:customStyle="1" w:styleId="blockquote">
    <w:name w:val="blockquote"/>
    <w:basedOn w:val="Normal"/>
    <w:rsid w:val="009521B5"/>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9521B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964775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557</Words>
  <Characters>3176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2017-05-22T19:05:00Z</dcterms:created>
  <dcterms:modified xsi:type="dcterms:W3CDTF">2017-05-22T19:05:00Z</dcterms:modified>
</cp:coreProperties>
</file>