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C036F5">
        <w:rPr>
          <w:sz w:val="24"/>
          <w:szCs w:val="24"/>
        </w:rPr>
        <w:t xml:space="preserve">Leonard Scott, Appellant v. Robin Shay, </w:t>
      </w:r>
      <w:proofErr w:type="spellStart"/>
      <w:r w:rsidR="00C036F5">
        <w:rPr>
          <w:sz w:val="24"/>
          <w:szCs w:val="24"/>
        </w:rPr>
        <w:t>Appellee</w:t>
      </w:r>
      <w:proofErr w:type="spellEnd"/>
    </w:p>
    <w:p w:rsidR="00E16E68" w:rsidRPr="000933B7" w:rsidRDefault="00E16E68" w:rsidP="00E16E68">
      <w:pPr>
        <w:rPr>
          <w:sz w:val="24"/>
          <w:szCs w:val="24"/>
        </w:rPr>
      </w:pPr>
      <w:r>
        <w:rPr>
          <w:b/>
          <w:sz w:val="24"/>
          <w:szCs w:val="24"/>
        </w:rPr>
        <w:t>Judge:</w:t>
      </w:r>
      <w:r>
        <w:rPr>
          <w:b/>
          <w:sz w:val="24"/>
          <w:szCs w:val="24"/>
        </w:rPr>
        <w:tab/>
      </w:r>
      <w:r w:rsidR="00C036F5">
        <w:rPr>
          <w:sz w:val="24"/>
          <w:szCs w:val="24"/>
        </w:rPr>
        <w:t>J. Colville</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C036F5">
        <w:rPr>
          <w:sz w:val="24"/>
          <w:szCs w:val="24"/>
        </w:rPr>
        <w:t>June 26, 2007</w:t>
      </w:r>
    </w:p>
    <w:p w:rsidR="00E16E68" w:rsidRPr="000933B7" w:rsidRDefault="00E16E68" w:rsidP="00E16E68">
      <w:pPr>
        <w:rPr>
          <w:sz w:val="24"/>
          <w:szCs w:val="24"/>
        </w:rPr>
      </w:pPr>
      <w:r>
        <w:rPr>
          <w:b/>
          <w:sz w:val="24"/>
          <w:szCs w:val="24"/>
        </w:rPr>
        <w:t>Tags:</w:t>
      </w:r>
      <w:r w:rsidR="000933B7">
        <w:rPr>
          <w:sz w:val="24"/>
          <w:szCs w:val="24"/>
        </w:rPr>
        <w:t xml:space="preserve"> </w:t>
      </w:r>
      <w:r w:rsidR="00C036F5">
        <w:rPr>
          <w:sz w:val="24"/>
          <w:szCs w:val="24"/>
        </w:rPr>
        <w:t xml:space="preserve">PFA, Childhood </w:t>
      </w:r>
      <w:r w:rsidR="00A67706">
        <w:rPr>
          <w:sz w:val="24"/>
          <w:szCs w:val="24"/>
        </w:rPr>
        <w:t xml:space="preserve">sexual </w:t>
      </w:r>
      <w:r w:rsidR="00C036F5">
        <w:rPr>
          <w:sz w:val="24"/>
          <w:szCs w:val="24"/>
        </w:rPr>
        <w:t xml:space="preserve">abuse, </w:t>
      </w:r>
      <w:r w:rsidR="00A67706">
        <w:rPr>
          <w:sz w:val="24"/>
          <w:szCs w:val="24"/>
        </w:rPr>
        <w:t>Standing, Course of conduct</w:t>
      </w:r>
    </w:p>
    <w:p w:rsidR="00E16E68" w:rsidRPr="000933B7" w:rsidRDefault="00E16E68" w:rsidP="00E16E68">
      <w:pPr>
        <w:rPr>
          <w:sz w:val="24"/>
          <w:szCs w:val="24"/>
        </w:rPr>
      </w:pPr>
      <w:r>
        <w:rPr>
          <w:b/>
          <w:sz w:val="24"/>
          <w:szCs w:val="24"/>
        </w:rPr>
        <w:t>Facts:</w:t>
      </w:r>
      <w:r w:rsidR="000933B7">
        <w:rPr>
          <w:sz w:val="24"/>
          <w:szCs w:val="24"/>
        </w:rPr>
        <w:t xml:space="preserve"> </w:t>
      </w:r>
      <w:r w:rsidR="00C036F5">
        <w:rPr>
          <w:sz w:val="24"/>
          <w:szCs w:val="24"/>
        </w:rPr>
        <w:t xml:space="preserve">As a child </w:t>
      </w:r>
      <w:proofErr w:type="spellStart"/>
      <w:r w:rsidR="00C036F5">
        <w:rPr>
          <w:sz w:val="24"/>
          <w:szCs w:val="24"/>
        </w:rPr>
        <w:t>Appellee</w:t>
      </w:r>
      <w:proofErr w:type="spellEnd"/>
      <w:r w:rsidR="00C036F5">
        <w:rPr>
          <w:sz w:val="24"/>
          <w:szCs w:val="24"/>
        </w:rPr>
        <w:t xml:space="preserve"> was the victim of indecent assault by Appellant.  In coming years they saw each other in the community from time to time. During a church event they were in the same place, though surrounded by many people and kept at a distance from each other.  </w:t>
      </w:r>
      <w:proofErr w:type="spellStart"/>
      <w:r w:rsidR="00C036F5">
        <w:rPr>
          <w:sz w:val="24"/>
          <w:szCs w:val="24"/>
        </w:rPr>
        <w:t>Appellee</w:t>
      </w:r>
      <w:proofErr w:type="spellEnd"/>
      <w:r w:rsidR="00C036F5">
        <w:rPr>
          <w:sz w:val="24"/>
          <w:szCs w:val="24"/>
        </w:rPr>
        <w:t xml:space="preserve"> subsequently filed a PFA petition and the trial court granted it.</w:t>
      </w:r>
    </w:p>
    <w:p w:rsidR="0010547E" w:rsidRDefault="00E16E68" w:rsidP="0015215A">
      <w:pPr>
        <w:spacing w:after="0"/>
        <w:rPr>
          <w:sz w:val="24"/>
          <w:szCs w:val="24"/>
        </w:rPr>
      </w:pPr>
      <w:r>
        <w:rPr>
          <w:b/>
          <w:sz w:val="24"/>
          <w:szCs w:val="24"/>
        </w:rPr>
        <w:t>Gravamen/Question(s) at issue:</w:t>
      </w:r>
      <w:r w:rsidR="000933B7">
        <w:rPr>
          <w:sz w:val="24"/>
          <w:szCs w:val="24"/>
        </w:rPr>
        <w:t xml:space="preserve"> </w:t>
      </w:r>
    </w:p>
    <w:p w:rsidR="00C036F5" w:rsidRDefault="00C036F5" w:rsidP="00C036F5">
      <w:pPr>
        <w:pStyle w:val="ListParagraph"/>
        <w:numPr>
          <w:ilvl w:val="0"/>
          <w:numId w:val="3"/>
        </w:numPr>
        <w:spacing w:after="0"/>
        <w:rPr>
          <w:sz w:val="24"/>
          <w:szCs w:val="24"/>
        </w:rPr>
      </w:pPr>
      <w:r>
        <w:rPr>
          <w:sz w:val="24"/>
          <w:szCs w:val="24"/>
        </w:rPr>
        <w:t>Did plaintiff have standing to file PFA?</w:t>
      </w:r>
    </w:p>
    <w:p w:rsidR="00C036F5" w:rsidRPr="00C036F5" w:rsidRDefault="00C036F5" w:rsidP="00C036F5">
      <w:pPr>
        <w:pStyle w:val="ListParagraph"/>
        <w:numPr>
          <w:ilvl w:val="0"/>
          <w:numId w:val="3"/>
        </w:numPr>
        <w:spacing w:after="0"/>
        <w:rPr>
          <w:sz w:val="24"/>
          <w:szCs w:val="24"/>
        </w:rPr>
      </w:pPr>
      <w:r>
        <w:rPr>
          <w:sz w:val="24"/>
          <w:szCs w:val="24"/>
        </w:rPr>
        <w:t>Was there sufficient evidence to support the order?</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C036F5">
        <w:rPr>
          <w:sz w:val="24"/>
          <w:szCs w:val="24"/>
        </w:rPr>
        <w:t>Sup. Court reverses Trial Court.</w:t>
      </w:r>
    </w:p>
    <w:p w:rsidR="00E16E68" w:rsidRDefault="00E16E68" w:rsidP="00C036F5">
      <w:pPr>
        <w:spacing w:after="0"/>
        <w:rPr>
          <w:sz w:val="24"/>
          <w:szCs w:val="24"/>
        </w:rPr>
      </w:pPr>
      <w:r>
        <w:rPr>
          <w:b/>
          <w:sz w:val="24"/>
          <w:szCs w:val="24"/>
        </w:rPr>
        <w:t>Rationale:</w:t>
      </w:r>
      <w:r w:rsidR="0010547E">
        <w:rPr>
          <w:sz w:val="24"/>
          <w:szCs w:val="24"/>
        </w:rPr>
        <w:t xml:space="preserve"> </w:t>
      </w:r>
    </w:p>
    <w:p w:rsidR="00C036F5" w:rsidRDefault="00C036F5" w:rsidP="00C036F5">
      <w:pPr>
        <w:pStyle w:val="ListParagraph"/>
        <w:numPr>
          <w:ilvl w:val="0"/>
          <w:numId w:val="6"/>
        </w:numPr>
        <w:spacing w:after="0"/>
        <w:rPr>
          <w:sz w:val="24"/>
          <w:szCs w:val="24"/>
        </w:rPr>
      </w:pPr>
      <w:r>
        <w:rPr>
          <w:sz w:val="24"/>
          <w:szCs w:val="24"/>
        </w:rPr>
        <w:t>“For the Act to apply, the petitioner seeking to invoke it must have standing, which is to say that the petitioner and the intended respondent must be family or household members.” (5)</w:t>
      </w:r>
      <w:r w:rsidR="00E13373">
        <w:rPr>
          <w:sz w:val="24"/>
          <w:szCs w:val="24"/>
        </w:rPr>
        <w:t xml:space="preserve"> = </w:t>
      </w:r>
      <w:r w:rsidR="00E13373">
        <w:rPr>
          <w:i/>
          <w:sz w:val="24"/>
          <w:szCs w:val="24"/>
        </w:rPr>
        <w:t>elective</w:t>
      </w:r>
      <w:r w:rsidR="00E13373">
        <w:rPr>
          <w:sz w:val="24"/>
          <w:szCs w:val="24"/>
        </w:rPr>
        <w:t xml:space="preserve"> personal interaction.  Not the same between victim and sexual predator.</w:t>
      </w:r>
    </w:p>
    <w:p w:rsidR="00C036F5" w:rsidRPr="00C036F5" w:rsidRDefault="00E13373" w:rsidP="00C036F5">
      <w:pPr>
        <w:pStyle w:val="ListParagraph"/>
        <w:numPr>
          <w:ilvl w:val="0"/>
          <w:numId w:val="6"/>
        </w:numPr>
        <w:spacing w:after="0"/>
        <w:rPr>
          <w:sz w:val="24"/>
          <w:szCs w:val="24"/>
        </w:rPr>
      </w:pPr>
      <w:r>
        <w:rPr>
          <w:sz w:val="24"/>
          <w:szCs w:val="24"/>
        </w:rPr>
        <w:t>Insufficient evidence to support PFA order.  No “course of conduct” (pattern of actions) present.</w:t>
      </w:r>
    </w:p>
    <w:p w:rsidR="00A67706" w:rsidRDefault="00A67706" w:rsidP="00E13373">
      <w:pPr>
        <w:spacing w:after="0"/>
        <w:rPr>
          <w:b/>
          <w:sz w:val="24"/>
          <w:szCs w:val="24"/>
        </w:rPr>
      </w:pPr>
    </w:p>
    <w:p w:rsidR="0015215A" w:rsidRDefault="0015215A" w:rsidP="00E13373">
      <w:pPr>
        <w:spacing w:after="0"/>
        <w:rPr>
          <w:b/>
          <w:sz w:val="24"/>
          <w:szCs w:val="24"/>
        </w:rPr>
      </w:pPr>
      <w:r>
        <w:rPr>
          <w:b/>
          <w:sz w:val="24"/>
          <w:szCs w:val="24"/>
        </w:rPr>
        <w:t>Dicta:</w:t>
      </w:r>
    </w:p>
    <w:p w:rsidR="00E13373" w:rsidRPr="00E13373" w:rsidRDefault="00E13373" w:rsidP="00E13373">
      <w:pPr>
        <w:pStyle w:val="ListParagraph"/>
        <w:numPr>
          <w:ilvl w:val="0"/>
          <w:numId w:val="7"/>
        </w:numPr>
        <w:spacing w:after="0"/>
        <w:rPr>
          <w:sz w:val="24"/>
          <w:szCs w:val="24"/>
        </w:rPr>
      </w:pPr>
      <w:r>
        <w:rPr>
          <w:sz w:val="24"/>
          <w:szCs w:val="24"/>
        </w:rPr>
        <w:t>“</w:t>
      </w:r>
      <w:r>
        <w:t xml:space="preserve">The only way that Appellant and </w:t>
      </w:r>
      <w:proofErr w:type="spellStart"/>
      <w:r>
        <w:t>Appellee</w:t>
      </w:r>
      <w:proofErr w:type="spellEnd"/>
      <w:r>
        <w:t xml:space="preserve"> could fall within the definition of family or household members is if the phrase “sexual or intimate partners” is interpreted to include an assailant and a victim.” (6)</w:t>
      </w:r>
    </w:p>
    <w:p w:rsidR="00E13373" w:rsidRPr="00E13373" w:rsidRDefault="00E13373" w:rsidP="00E13373">
      <w:pPr>
        <w:pStyle w:val="ListParagraph"/>
        <w:numPr>
          <w:ilvl w:val="0"/>
          <w:numId w:val="7"/>
        </w:numPr>
        <w:spacing w:after="0"/>
        <w:rPr>
          <w:sz w:val="24"/>
          <w:szCs w:val="24"/>
        </w:rPr>
      </w:pPr>
      <w:r>
        <w:t>“An assailant and a victim do not, by virtue a crime, suddenly have a bond regarding the private matters of life.” (7)</w:t>
      </w:r>
    </w:p>
    <w:p w:rsidR="00E13373" w:rsidRPr="00E13373" w:rsidRDefault="00E13373" w:rsidP="00E13373">
      <w:pPr>
        <w:pStyle w:val="ListParagraph"/>
        <w:numPr>
          <w:ilvl w:val="0"/>
          <w:numId w:val="7"/>
        </w:numPr>
        <w:spacing w:after="0"/>
        <w:rPr>
          <w:sz w:val="24"/>
          <w:szCs w:val="24"/>
        </w:rPr>
      </w:pPr>
      <w:r>
        <w:t>“Appellant’s conduct does not become subject to sanctions under domestic relations law solely because he was convicted under the criminal code at an earlier time. The Act is not intended to punish past criminal conduct.” (10)</w:t>
      </w:r>
    </w:p>
    <w:p w:rsidR="00E13373" w:rsidRPr="00E13373" w:rsidRDefault="00E13373" w:rsidP="00E13373">
      <w:pPr>
        <w:pStyle w:val="ListParagraph"/>
        <w:numPr>
          <w:ilvl w:val="0"/>
          <w:numId w:val="7"/>
        </w:numPr>
        <w:spacing w:after="0"/>
        <w:rPr>
          <w:sz w:val="24"/>
          <w:szCs w:val="24"/>
        </w:rPr>
      </w:pPr>
      <w:r>
        <w:t>“It is inappropriate to suggest that, because someone was convicted of a crime, he or she is now and will always be subject to whatever restriction or sanction one might conceive.” (10)</w:t>
      </w:r>
    </w:p>
    <w:p w:rsidR="00E13373" w:rsidRPr="00A67706" w:rsidRDefault="00E13373" w:rsidP="00E13373">
      <w:pPr>
        <w:pStyle w:val="ListParagraph"/>
        <w:numPr>
          <w:ilvl w:val="0"/>
          <w:numId w:val="7"/>
        </w:numPr>
        <w:spacing w:after="0"/>
        <w:rPr>
          <w:sz w:val="24"/>
          <w:szCs w:val="24"/>
        </w:rPr>
      </w:pPr>
      <w:r>
        <w:t>“Two encounters that occur more than a year apart under dissimilar circumstances and that do not resemble each other can hardly be called a pattern evidencing a continuity of conduct.” (13)</w:t>
      </w:r>
    </w:p>
    <w:p w:rsidR="00A67706" w:rsidRPr="00E13373" w:rsidRDefault="00A67706" w:rsidP="00A67706">
      <w:pPr>
        <w:pStyle w:val="ListParagraph"/>
        <w:spacing w:after="0"/>
        <w:rPr>
          <w:sz w:val="24"/>
          <w:szCs w:val="24"/>
        </w:rPr>
      </w:pPr>
    </w:p>
    <w:p w:rsidR="0015215A" w:rsidRDefault="006A18CC" w:rsidP="006A18CC">
      <w:pPr>
        <w:spacing w:after="0"/>
        <w:rPr>
          <w:sz w:val="24"/>
          <w:szCs w:val="24"/>
        </w:rPr>
      </w:pPr>
      <w:r>
        <w:rPr>
          <w:b/>
          <w:sz w:val="24"/>
          <w:szCs w:val="24"/>
        </w:rPr>
        <w:t xml:space="preserve">Concurring </w:t>
      </w:r>
      <w:r w:rsidR="0015215A">
        <w:rPr>
          <w:b/>
          <w:sz w:val="24"/>
          <w:szCs w:val="24"/>
        </w:rPr>
        <w:t>/</w:t>
      </w:r>
      <w:r>
        <w:rPr>
          <w:b/>
          <w:sz w:val="24"/>
          <w:szCs w:val="24"/>
        </w:rPr>
        <w:t xml:space="preserve"> </w:t>
      </w:r>
      <w:r w:rsidR="00E16E68">
        <w:rPr>
          <w:b/>
          <w:sz w:val="24"/>
          <w:szCs w:val="24"/>
        </w:rPr>
        <w:t>Dissent</w:t>
      </w:r>
      <w:r>
        <w:rPr>
          <w:b/>
          <w:sz w:val="24"/>
          <w:szCs w:val="24"/>
        </w:rPr>
        <w:t>ing Opinion</w:t>
      </w:r>
      <w:r w:rsidR="00E16E68">
        <w:rPr>
          <w:b/>
          <w:sz w:val="24"/>
          <w:szCs w:val="24"/>
        </w:rPr>
        <w:t>:</w:t>
      </w:r>
      <w:r>
        <w:rPr>
          <w:sz w:val="24"/>
          <w:szCs w:val="24"/>
        </w:rPr>
        <w:t xml:space="preserve"> </w:t>
      </w:r>
      <w:r w:rsidR="00A67706">
        <w:rPr>
          <w:sz w:val="24"/>
          <w:szCs w:val="24"/>
        </w:rPr>
        <w:t>J. Todd thinks it wasn’t necessary to say the stuff about insufficient evidence because there wasn’t standing in the first place.</w:t>
      </w:r>
    </w:p>
    <w:p w:rsidR="00E16E68" w:rsidRDefault="00E16E68" w:rsidP="0010547E">
      <w:pPr>
        <w:spacing w:after="0"/>
        <w:rPr>
          <w:sz w:val="24"/>
          <w:szCs w:val="24"/>
        </w:rPr>
      </w:pP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lastRenderedPageBreak/>
        <w:t>Appeals</w:t>
      </w:r>
      <w:r w:rsidR="00A56A0E">
        <w:rPr>
          <w:b/>
          <w:sz w:val="24"/>
          <w:szCs w:val="24"/>
        </w:rPr>
        <w:t xml:space="preserve"> to Statute &amp; Precedent</w:t>
      </w:r>
      <w:r>
        <w:rPr>
          <w:b/>
          <w:sz w:val="24"/>
          <w:szCs w:val="24"/>
        </w:rPr>
        <w:t>:</w:t>
      </w:r>
    </w:p>
    <w:p w:rsidR="00C036F5" w:rsidRPr="00C036F5" w:rsidRDefault="00C036F5" w:rsidP="00C036F5">
      <w:pPr>
        <w:pStyle w:val="ListParagraph"/>
        <w:numPr>
          <w:ilvl w:val="0"/>
          <w:numId w:val="5"/>
        </w:numPr>
        <w:spacing w:after="0"/>
        <w:rPr>
          <w:b/>
          <w:sz w:val="24"/>
          <w:szCs w:val="24"/>
        </w:rPr>
      </w:pPr>
      <w:proofErr w:type="spellStart"/>
      <w:r>
        <w:rPr>
          <w:b/>
          <w:i/>
          <w:sz w:val="24"/>
          <w:szCs w:val="24"/>
        </w:rPr>
        <w:t>McCance</w:t>
      </w:r>
      <w:proofErr w:type="spellEnd"/>
      <w:r>
        <w:rPr>
          <w:b/>
          <w:i/>
          <w:sz w:val="24"/>
          <w:szCs w:val="24"/>
        </w:rPr>
        <w:t xml:space="preserve"> v. </w:t>
      </w:r>
      <w:proofErr w:type="spellStart"/>
      <w:r>
        <w:rPr>
          <w:b/>
          <w:i/>
          <w:sz w:val="24"/>
          <w:szCs w:val="24"/>
        </w:rPr>
        <w:t>McCance</w:t>
      </w:r>
      <w:proofErr w:type="spellEnd"/>
      <w:r>
        <w:rPr>
          <w:sz w:val="24"/>
          <w:szCs w:val="24"/>
        </w:rPr>
        <w:t xml:space="preserve"> (2006): the statutory interpretation part.</w:t>
      </w:r>
    </w:p>
    <w:p w:rsidR="00C036F5" w:rsidRPr="00E13373" w:rsidRDefault="00C036F5" w:rsidP="00C036F5">
      <w:pPr>
        <w:pStyle w:val="ListParagraph"/>
        <w:numPr>
          <w:ilvl w:val="0"/>
          <w:numId w:val="5"/>
        </w:numPr>
        <w:spacing w:after="0"/>
        <w:rPr>
          <w:b/>
          <w:sz w:val="24"/>
          <w:szCs w:val="24"/>
        </w:rPr>
      </w:pPr>
      <w:r>
        <w:rPr>
          <w:b/>
          <w:i/>
          <w:sz w:val="24"/>
          <w:szCs w:val="24"/>
        </w:rPr>
        <w:t>Snyder v. Snyder</w:t>
      </w:r>
      <w:r>
        <w:rPr>
          <w:sz w:val="24"/>
          <w:szCs w:val="24"/>
        </w:rPr>
        <w:t xml:space="preserve"> (1993): “the criminal law sometimes failed to penetrate the familial setting.” (4)</w:t>
      </w:r>
    </w:p>
    <w:p w:rsidR="00E13373" w:rsidRPr="00C036F5" w:rsidRDefault="00E13373" w:rsidP="00C036F5">
      <w:pPr>
        <w:pStyle w:val="ListParagraph"/>
        <w:numPr>
          <w:ilvl w:val="0"/>
          <w:numId w:val="5"/>
        </w:numPr>
        <w:spacing w:after="0"/>
        <w:rPr>
          <w:b/>
          <w:sz w:val="24"/>
          <w:szCs w:val="24"/>
        </w:rPr>
      </w:pPr>
      <w:r>
        <w:rPr>
          <w:b/>
          <w:i/>
          <w:sz w:val="24"/>
          <w:szCs w:val="24"/>
        </w:rPr>
        <w:t xml:space="preserve">R.G. v. T.D. </w:t>
      </w:r>
      <w:r>
        <w:rPr>
          <w:sz w:val="24"/>
          <w:szCs w:val="24"/>
        </w:rPr>
        <w:t xml:space="preserve"> (1996):  course of conduct:  repeated unwanted phone calls and emails</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C036F5" w:rsidRPr="00C036F5" w:rsidRDefault="00C036F5" w:rsidP="00C036F5">
      <w:pPr>
        <w:pStyle w:val="ListParagraph"/>
        <w:numPr>
          <w:ilvl w:val="0"/>
          <w:numId w:val="4"/>
        </w:numPr>
        <w:spacing w:after="0"/>
        <w:rPr>
          <w:sz w:val="24"/>
          <w:szCs w:val="24"/>
        </w:rPr>
      </w:pPr>
      <w:r>
        <w:t xml:space="preserve">“For this issue, our standard of review is </w:t>
      </w:r>
      <w:r w:rsidRPr="00A67706">
        <w:rPr>
          <w:i/>
        </w:rPr>
        <w:t>de novo</w:t>
      </w:r>
      <w:r>
        <w:t xml:space="preserve"> and our scope of review is plenary.” (3)</w:t>
      </w:r>
    </w:p>
    <w:sectPr w:rsidR="00C036F5" w:rsidRPr="00C036F5"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03C6" w:rsidRDefault="006503C6" w:rsidP="00E16E68">
      <w:pPr>
        <w:spacing w:after="0" w:line="240" w:lineRule="auto"/>
      </w:pPr>
      <w:r>
        <w:separator/>
      </w:r>
    </w:p>
  </w:endnote>
  <w:endnote w:type="continuationSeparator" w:id="0">
    <w:p w:rsidR="006503C6" w:rsidRDefault="006503C6"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03C6" w:rsidRDefault="006503C6" w:rsidP="00E16E68">
      <w:pPr>
        <w:spacing w:after="0" w:line="240" w:lineRule="auto"/>
      </w:pPr>
      <w:r>
        <w:separator/>
      </w:r>
    </w:p>
  </w:footnote>
  <w:footnote w:type="continuationSeparator" w:id="0">
    <w:p w:rsidR="006503C6" w:rsidRDefault="006503C6"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C036F5">
      <w:t>2007</w:t>
    </w:r>
    <w:r w:rsidR="00E16E68">
      <w:tab/>
    </w:r>
    <w:r w:rsidR="00C036F5">
      <w:t>Scott v. Shay</w:t>
    </w:r>
  </w:p>
  <w:p w:rsidR="00F95A0E" w:rsidRDefault="00F95A0E" w:rsidP="00F95A0E">
    <w:pPr>
      <w:pStyle w:val="Header"/>
      <w:jc w:val="right"/>
    </w:pPr>
    <w:r>
      <w:tab/>
    </w:r>
    <w:r>
      <w:tab/>
    </w:r>
    <w:r w:rsidR="00A67706">
      <w:t>CHURCH FUNCTION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FA3A92"/>
    <w:multiLevelType w:val="hybridMultilevel"/>
    <w:tmpl w:val="BD24A07C"/>
    <w:lvl w:ilvl="0" w:tplc="DCB24A4C">
      <w:start w:val="1"/>
      <w:numFmt w:val="bullet"/>
      <w:lvlText w:val=""/>
      <w:lvlJc w:val="left"/>
      <w:pPr>
        <w:ind w:left="720" w:hanging="360"/>
      </w:pPr>
      <w:rPr>
        <w:rFonts w:ascii="Symbol" w:eastAsiaTheme="minorHAnsi" w:hAnsi="Symbol" w:cstheme="minorBid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690B09"/>
    <w:multiLevelType w:val="hybridMultilevel"/>
    <w:tmpl w:val="3B8A73DC"/>
    <w:lvl w:ilvl="0" w:tplc="94EA4D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A057BC"/>
    <w:multiLevelType w:val="hybridMultilevel"/>
    <w:tmpl w:val="EFAE74C0"/>
    <w:lvl w:ilvl="0" w:tplc="32A674B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8635D9"/>
    <w:multiLevelType w:val="hybridMultilevel"/>
    <w:tmpl w:val="DCD8F668"/>
    <w:lvl w:ilvl="0" w:tplc="1A78D2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1371FBC"/>
    <w:multiLevelType w:val="hybridMultilevel"/>
    <w:tmpl w:val="2A5A32B8"/>
    <w:lvl w:ilvl="0" w:tplc="FBAEF01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1"/>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216127"/>
    <w:rsid w:val="005F2C53"/>
    <w:rsid w:val="006503C6"/>
    <w:rsid w:val="00692188"/>
    <w:rsid w:val="006A18CC"/>
    <w:rsid w:val="007B337C"/>
    <w:rsid w:val="009645CA"/>
    <w:rsid w:val="00A20DAD"/>
    <w:rsid w:val="00A41926"/>
    <w:rsid w:val="00A56A0E"/>
    <w:rsid w:val="00A67706"/>
    <w:rsid w:val="00AA40E8"/>
    <w:rsid w:val="00C036F5"/>
    <w:rsid w:val="00C5621B"/>
    <w:rsid w:val="00E13373"/>
    <w:rsid w:val="00E16E68"/>
    <w:rsid w:val="00E62CB1"/>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382</Words>
  <Characters>2182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2016-10-19T14:31:00Z</cp:lastPrinted>
  <dcterms:created xsi:type="dcterms:W3CDTF">2016-11-19T00:51:00Z</dcterms:created>
  <dcterms:modified xsi:type="dcterms:W3CDTF">2016-11-19T01:14:00Z</dcterms:modified>
</cp:coreProperties>
</file>