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305108">
        <w:rPr>
          <w:sz w:val="24"/>
          <w:szCs w:val="24"/>
        </w:rPr>
        <w:t>T.K. v. A.Z., Appellant (157 A.3d 974)</w:t>
      </w:r>
    </w:p>
    <w:p w:rsidR="00E16E68" w:rsidRPr="000933B7" w:rsidRDefault="00E16E68" w:rsidP="00E16E68">
      <w:pPr>
        <w:rPr>
          <w:sz w:val="24"/>
          <w:szCs w:val="24"/>
        </w:rPr>
      </w:pPr>
      <w:r>
        <w:rPr>
          <w:b/>
          <w:sz w:val="24"/>
          <w:szCs w:val="24"/>
        </w:rPr>
        <w:t>Judge:</w:t>
      </w:r>
      <w:r>
        <w:rPr>
          <w:b/>
          <w:sz w:val="24"/>
          <w:szCs w:val="24"/>
        </w:rPr>
        <w:tab/>
      </w:r>
      <w:r w:rsidR="00305108">
        <w:rPr>
          <w:sz w:val="24"/>
          <w:szCs w:val="24"/>
        </w:rPr>
        <w:t>P.J.E. Stevens</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305108">
        <w:rPr>
          <w:sz w:val="24"/>
          <w:szCs w:val="24"/>
        </w:rPr>
        <w:t>March 14, 2017</w:t>
      </w:r>
    </w:p>
    <w:p w:rsidR="00E16E68" w:rsidRPr="000933B7" w:rsidRDefault="00E16E68" w:rsidP="00E16E68">
      <w:pPr>
        <w:rPr>
          <w:sz w:val="24"/>
          <w:szCs w:val="24"/>
        </w:rPr>
      </w:pPr>
      <w:r>
        <w:rPr>
          <w:b/>
          <w:sz w:val="24"/>
          <w:szCs w:val="24"/>
        </w:rPr>
        <w:t>Tags:</w:t>
      </w:r>
      <w:r w:rsidR="000933B7">
        <w:rPr>
          <w:sz w:val="24"/>
          <w:szCs w:val="24"/>
        </w:rPr>
        <w:t xml:space="preserve"> </w:t>
      </w:r>
      <w:r w:rsidR="00C9222B">
        <w:rPr>
          <w:sz w:val="24"/>
          <w:szCs w:val="24"/>
        </w:rPr>
        <w:t>PFA, stalking, harassment, reasonable fear</w:t>
      </w:r>
    </w:p>
    <w:p w:rsidR="00E16E68" w:rsidRPr="000933B7" w:rsidRDefault="00E16E68" w:rsidP="00E16E68">
      <w:pPr>
        <w:rPr>
          <w:sz w:val="24"/>
          <w:szCs w:val="24"/>
        </w:rPr>
      </w:pPr>
      <w:r>
        <w:rPr>
          <w:b/>
          <w:sz w:val="24"/>
          <w:szCs w:val="24"/>
        </w:rPr>
        <w:t>Facts:</w:t>
      </w:r>
      <w:r w:rsidR="000933B7">
        <w:rPr>
          <w:sz w:val="24"/>
          <w:szCs w:val="24"/>
        </w:rPr>
        <w:t xml:space="preserve"> </w:t>
      </w:r>
      <w:r w:rsidR="00305108">
        <w:rPr>
          <w:sz w:val="24"/>
          <w:szCs w:val="24"/>
        </w:rPr>
        <w:t xml:space="preserve">Appeal challenges PFA granted against A.Z. by Cambria County CCP.  Couple married for 11 years, </w:t>
      </w:r>
      <w:proofErr w:type="gramStart"/>
      <w:r w:rsidR="00305108">
        <w:rPr>
          <w:sz w:val="24"/>
          <w:szCs w:val="24"/>
        </w:rPr>
        <w:t>then</w:t>
      </w:r>
      <w:proofErr w:type="gramEnd"/>
      <w:r w:rsidR="00305108">
        <w:rPr>
          <w:sz w:val="24"/>
          <w:szCs w:val="24"/>
        </w:rPr>
        <w:t xml:space="preserve"> separated in 2009.  Wife alleged that husband stalked and harassed her during 7 years following separation.  Trial court found the testimony credible.</w:t>
      </w:r>
    </w:p>
    <w:p w:rsidR="00305108" w:rsidRPr="00305108" w:rsidRDefault="00E16E68" w:rsidP="00305108">
      <w:pPr>
        <w:spacing w:after="0"/>
        <w:rPr>
          <w:sz w:val="24"/>
          <w:szCs w:val="24"/>
        </w:rPr>
      </w:pPr>
      <w:r>
        <w:rPr>
          <w:b/>
          <w:sz w:val="24"/>
          <w:szCs w:val="24"/>
        </w:rPr>
        <w:t>Gravamen/Question(s) at issue:</w:t>
      </w:r>
      <w:r w:rsidR="000933B7">
        <w:rPr>
          <w:sz w:val="24"/>
          <w:szCs w:val="24"/>
        </w:rPr>
        <w:t xml:space="preserve"> </w:t>
      </w:r>
      <w:r w:rsidR="00305108">
        <w:rPr>
          <w:sz w:val="24"/>
          <w:szCs w:val="24"/>
        </w:rPr>
        <w:t xml:space="preserve">   </w:t>
      </w:r>
      <w:r w:rsidR="00305108" w:rsidRPr="00305108">
        <w:rPr>
          <w:sz w:val="24"/>
          <w:szCs w:val="24"/>
        </w:rPr>
        <w:t xml:space="preserve">Did evidence presented warrant a </w:t>
      </w:r>
      <w:r w:rsidR="00305108">
        <w:rPr>
          <w:sz w:val="24"/>
          <w:szCs w:val="24"/>
        </w:rPr>
        <w:t xml:space="preserve">3-year </w:t>
      </w:r>
      <w:r w:rsidR="00305108" w:rsidRPr="00305108">
        <w:rPr>
          <w:sz w:val="24"/>
          <w:szCs w:val="24"/>
        </w:rPr>
        <w:t>PFA order?</w:t>
      </w:r>
    </w:p>
    <w:p w:rsidR="00305108" w:rsidRPr="00305108" w:rsidRDefault="00305108" w:rsidP="00305108">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305108">
        <w:rPr>
          <w:sz w:val="24"/>
          <w:szCs w:val="24"/>
        </w:rPr>
        <w:t>PFA order affirmed.</w:t>
      </w:r>
    </w:p>
    <w:p w:rsidR="00C9222B" w:rsidRDefault="00E16E68" w:rsidP="00C9222B">
      <w:pPr>
        <w:spacing w:after="0"/>
        <w:rPr>
          <w:sz w:val="24"/>
          <w:szCs w:val="24"/>
        </w:rPr>
      </w:pPr>
      <w:r>
        <w:rPr>
          <w:b/>
          <w:sz w:val="24"/>
          <w:szCs w:val="24"/>
        </w:rPr>
        <w:t>Rationale:</w:t>
      </w:r>
      <w:r w:rsidR="0010547E">
        <w:rPr>
          <w:sz w:val="24"/>
          <w:szCs w:val="24"/>
        </w:rPr>
        <w:t xml:space="preserve"> </w:t>
      </w:r>
    </w:p>
    <w:p w:rsidR="00C9222B" w:rsidRDefault="00C9222B" w:rsidP="00C9222B">
      <w:pPr>
        <w:pStyle w:val="ListParagraph"/>
        <w:numPr>
          <w:ilvl w:val="0"/>
          <w:numId w:val="5"/>
        </w:numPr>
        <w:spacing w:after="0"/>
        <w:rPr>
          <w:sz w:val="24"/>
          <w:szCs w:val="24"/>
        </w:rPr>
      </w:pPr>
      <w:r>
        <w:rPr>
          <w:sz w:val="24"/>
          <w:szCs w:val="24"/>
        </w:rPr>
        <w:t>23 PA does indeed include husband’s behaviors in their definition of abuse.</w:t>
      </w:r>
    </w:p>
    <w:p w:rsidR="00C9222B" w:rsidRDefault="00C9222B" w:rsidP="00C9222B">
      <w:pPr>
        <w:pStyle w:val="ListParagraph"/>
        <w:numPr>
          <w:ilvl w:val="0"/>
          <w:numId w:val="5"/>
        </w:numPr>
        <w:spacing w:after="0"/>
        <w:rPr>
          <w:sz w:val="24"/>
          <w:szCs w:val="24"/>
        </w:rPr>
      </w:pPr>
      <w:r>
        <w:rPr>
          <w:sz w:val="24"/>
          <w:szCs w:val="24"/>
        </w:rPr>
        <w:t xml:space="preserve">Wife did indeed testify as to her fear of the husband because of his behavior:  “Although </w:t>
      </w:r>
      <w:proofErr w:type="spellStart"/>
      <w:r>
        <w:rPr>
          <w:sz w:val="24"/>
          <w:szCs w:val="24"/>
        </w:rPr>
        <w:t>Appellee</w:t>
      </w:r>
      <w:proofErr w:type="spellEnd"/>
      <w:r>
        <w:rPr>
          <w:sz w:val="24"/>
          <w:szCs w:val="24"/>
        </w:rPr>
        <w:t xml:space="preserve"> did not use the specific word ‘fear,’ she clearly testified to her deep concern for her safety, opining that Appellant’s behavior would eventually escalate from repetitive stalking to seeking to cause her bodily harm.” </w:t>
      </w:r>
    </w:p>
    <w:p w:rsidR="00C9222B" w:rsidRPr="00C9222B" w:rsidRDefault="00C9222B" w:rsidP="00C9222B">
      <w:pPr>
        <w:pStyle w:val="ListParagraph"/>
        <w:spacing w:after="0"/>
        <w:rPr>
          <w:sz w:val="24"/>
          <w:szCs w:val="24"/>
        </w:rPr>
      </w:pPr>
    </w:p>
    <w:p w:rsidR="00E16E68" w:rsidRPr="00305108" w:rsidRDefault="00E16E68" w:rsidP="0010547E">
      <w:pPr>
        <w:spacing w:after="0"/>
        <w:rPr>
          <w:sz w:val="24"/>
          <w:szCs w:val="24"/>
        </w:rPr>
      </w:pPr>
      <w:r>
        <w:rPr>
          <w:b/>
          <w:sz w:val="24"/>
          <w:szCs w:val="24"/>
        </w:rPr>
        <w:t>Attorneys’ Arguments:</w:t>
      </w:r>
      <w:r w:rsidR="00305108">
        <w:rPr>
          <w:sz w:val="24"/>
          <w:szCs w:val="24"/>
        </w:rPr>
        <w:t xml:space="preserve">  Sure, husband’s behavior was “rude,” but it fell short of standard of abuse for PFA orders.  Besides, wife never testified that she was afraid.</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305108" w:rsidRPr="00C9222B" w:rsidRDefault="00305108" w:rsidP="00305108">
      <w:pPr>
        <w:pStyle w:val="ListParagraph"/>
        <w:numPr>
          <w:ilvl w:val="0"/>
          <w:numId w:val="4"/>
        </w:numPr>
        <w:spacing w:after="0"/>
        <w:rPr>
          <w:b/>
          <w:sz w:val="24"/>
          <w:szCs w:val="24"/>
        </w:rPr>
      </w:pPr>
      <w:r>
        <w:rPr>
          <w:b/>
          <w:sz w:val="24"/>
          <w:szCs w:val="24"/>
        </w:rPr>
        <w:t>PA 23 Section 6102(a):</w:t>
      </w:r>
      <w:r>
        <w:rPr>
          <w:sz w:val="24"/>
          <w:szCs w:val="24"/>
        </w:rPr>
        <w:t xml:space="preserve">  Definition of abuse includes “knowingly engaging in a course of conduct or repeatedly committing acts toward another person, </w:t>
      </w:r>
      <w:r>
        <w:rPr>
          <w:i/>
          <w:sz w:val="24"/>
          <w:szCs w:val="24"/>
        </w:rPr>
        <w:t>including following the person</w:t>
      </w:r>
      <w:r>
        <w:rPr>
          <w:sz w:val="24"/>
          <w:szCs w:val="24"/>
        </w:rPr>
        <w:t xml:space="preserve">, without proper authority, under circumstances which place the person in reasonable fear of bodily injury.” </w:t>
      </w:r>
    </w:p>
    <w:p w:rsidR="00C9222B" w:rsidRPr="00305108" w:rsidRDefault="00C9222B" w:rsidP="00305108">
      <w:pPr>
        <w:pStyle w:val="ListParagraph"/>
        <w:numPr>
          <w:ilvl w:val="0"/>
          <w:numId w:val="4"/>
        </w:numPr>
        <w:spacing w:after="0"/>
        <w:rPr>
          <w:b/>
          <w:sz w:val="24"/>
          <w:szCs w:val="24"/>
        </w:rPr>
      </w:pPr>
      <w:r>
        <w:rPr>
          <w:b/>
          <w:i/>
          <w:sz w:val="24"/>
          <w:szCs w:val="24"/>
        </w:rPr>
        <w:t xml:space="preserve">Commonwealth v. Johnson </w:t>
      </w:r>
      <w:r>
        <w:rPr>
          <w:b/>
          <w:sz w:val="24"/>
          <w:szCs w:val="24"/>
        </w:rPr>
        <w:t>(PA 2009):</w:t>
      </w:r>
      <w:r>
        <w:rPr>
          <w:sz w:val="24"/>
          <w:szCs w:val="24"/>
        </w:rPr>
        <w:t xml:space="preserve">  If you’re </w:t>
      </w:r>
      <w:proofErr w:type="spellStart"/>
      <w:r>
        <w:rPr>
          <w:sz w:val="24"/>
          <w:szCs w:val="24"/>
        </w:rPr>
        <w:t>gonna</w:t>
      </w:r>
      <w:proofErr w:type="spellEnd"/>
      <w:r>
        <w:rPr>
          <w:sz w:val="24"/>
          <w:szCs w:val="24"/>
        </w:rPr>
        <w:t xml:space="preserve"> bring it up in your appeal, you better have citations and a discussion or it’ll be waived.</w:t>
      </w:r>
    </w:p>
    <w:p w:rsidR="0015215A" w:rsidRDefault="0015215A" w:rsidP="0010547E">
      <w:pPr>
        <w:spacing w:after="0"/>
        <w:rPr>
          <w:b/>
          <w:sz w:val="24"/>
          <w:szCs w:val="24"/>
        </w:rPr>
      </w:pPr>
    </w:p>
    <w:p w:rsidR="0015215A" w:rsidRDefault="0015215A" w:rsidP="0010547E">
      <w:pPr>
        <w:spacing w:after="0"/>
        <w:rPr>
          <w:b/>
          <w:sz w:val="24"/>
          <w:szCs w:val="24"/>
        </w:rPr>
      </w:pPr>
      <w:r>
        <w:rPr>
          <w:b/>
          <w:sz w:val="24"/>
          <w:szCs w:val="24"/>
        </w:rPr>
        <w:t>Commentary:</w:t>
      </w:r>
    </w:p>
    <w:p w:rsidR="00C9222B" w:rsidRPr="00C9222B" w:rsidRDefault="00C9222B" w:rsidP="00C9222B">
      <w:pPr>
        <w:pStyle w:val="ListParagraph"/>
        <w:numPr>
          <w:ilvl w:val="0"/>
          <w:numId w:val="4"/>
        </w:numPr>
        <w:spacing w:after="0"/>
        <w:rPr>
          <w:sz w:val="24"/>
          <w:szCs w:val="24"/>
        </w:rPr>
      </w:pPr>
      <w:r>
        <w:rPr>
          <w:sz w:val="24"/>
          <w:szCs w:val="24"/>
        </w:rPr>
        <w:t xml:space="preserve">Appellant tried to protest against the length of the PFA order as well, calling it “excessive”:  “However, other than this bald, one-sentence assertion, Appellant offers no authority or analysis to support this claim.  ‘[W]here an appellate brief fails to provide any discussion of a claim with citation to relevant authority or fails to develop the issue in any other meaningful fashion capable of review, that claim is waived.”  </w:t>
      </w:r>
      <w:r>
        <w:rPr>
          <w:i/>
          <w:sz w:val="24"/>
          <w:szCs w:val="24"/>
        </w:rPr>
        <w:t>Comm. v. Johnson</w:t>
      </w:r>
      <w:r>
        <w:rPr>
          <w:sz w:val="24"/>
          <w:szCs w:val="24"/>
        </w:rPr>
        <w:t xml:space="preserve"> (PA 2009)</w:t>
      </w:r>
    </w:p>
    <w:sectPr w:rsidR="00C9222B" w:rsidRPr="00C9222B"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06F1" w:rsidRDefault="00EB06F1" w:rsidP="00E16E68">
      <w:pPr>
        <w:spacing w:after="0" w:line="240" w:lineRule="auto"/>
      </w:pPr>
      <w:r>
        <w:separator/>
      </w:r>
    </w:p>
  </w:endnote>
  <w:endnote w:type="continuationSeparator" w:id="0">
    <w:p w:rsidR="00EB06F1" w:rsidRDefault="00EB06F1"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06F1" w:rsidRDefault="00EB06F1" w:rsidP="00E16E68">
      <w:pPr>
        <w:spacing w:after="0" w:line="240" w:lineRule="auto"/>
      </w:pPr>
      <w:r>
        <w:separator/>
      </w:r>
    </w:p>
  </w:footnote>
  <w:footnote w:type="continuationSeparator" w:id="0">
    <w:p w:rsidR="00EB06F1" w:rsidRDefault="00EB06F1"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305108">
      <w:t>2017</w:t>
    </w:r>
    <w:r w:rsidR="00E16E68">
      <w:tab/>
    </w:r>
    <w:r w:rsidR="00305108">
      <w:t>T.K. v. A.Z.</w:t>
    </w:r>
  </w:p>
  <w:p w:rsidR="00F95A0E" w:rsidRDefault="00F95A0E" w:rsidP="00F95A0E">
    <w:pPr>
      <w:pStyle w:val="Header"/>
      <w:jc w:val="right"/>
    </w:pPr>
    <w:r>
      <w:tab/>
    </w:r>
    <w:r>
      <w:tab/>
    </w:r>
    <w:r w:rsidR="00C9222B">
      <w:t>STALKING</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E642CC"/>
    <w:multiLevelType w:val="hybridMultilevel"/>
    <w:tmpl w:val="FA505FCE"/>
    <w:lvl w:ilvl="0" w:tplc="1ABA93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C042DC"/>
    <w:multiLevelType w:val="hybridMultilevel"/>
    <w:tmpl w:val="B4C45028"/>
    <w:lvl w:ilvl="0" w:tplc="01AC63B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9776BA"/>
    <w:multiLevelType w:val="hybridMultilevel"/>
    <w:tmpl w:val="D2D25E9C"/>
    <w:lvl w:ilvl="0" w:tplc="880A8E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305108"/>
    <w:rsid w:val="005F2C53"/>
    <w:rsid w:val="00692188"/>
    <w:rsid w:val="006A18CC"/>
    <w:rsid w:val="006B0278"/>
    <w:rsid w:val="007B337C"/>
    <w:rsid w:val="009645CA"/>
    <w:rsid w:val="00A20DAD"/>
    <w:rsid w:val="00A41926"/>
    <w:rsid w:val="00A56A0E"/>
    <w:rsid w:val="00AA40E8"/>
    <w:rsid w:val="00C5621B"/>
    <w:rsid w:val="00C9222B"/>
    <w:rsid w:val="00E16E68"/>
    <w:rsid w:val="00EB06F1"/>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305</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2017-09-19T13:57:00Z</dcterms:created>
  <dcterms:modified xsi:type="dcterms:W3CDTF">2017-09-19T13:57:00Z</dcterms:modified>
</cp:coreProperties>
</file>