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975B17">
        <w:t xml:space="preserve">COMMONWEALTH OF PENNSYLVANIA, </w:t>
      </w:r>
      <w:proofErr w:type="spellStart"/>
      <w:r w:rsidR="00975B17">
        <w:t>Appellee</w:t>
      </w:r>
      <w:proofErr w:type="spellEnd"/>
      <w:r w:rsidR="00975B17">
        <w:t xml:space="preserve"> v. IBRAHIM ABED, Appellant</w:t>
      </w:r>
    </w:p>
    <w:p w:rsidR="00E16E68" w:rsidRPr="00975B17" w:rsidRDefault="00E16E68" w:rsidP="00E16E68">
      <w:pPr>
        <w:rPr>
          <w:sz w:val="24"/>
          <w:szCs w:val="24"/>
        </w:rPr>
      </w:pPr>
      <w:r>
        <w:rPr>
          <w:b/>
          <w:sz w:val="24"/>
          <w:szCs w:val="24"/>
        </w:rPr>
        <w:t>Judge:</w:t>
      </w:r>
      <w:r>
        <w:rPr>
          <w:b/>
          <w:sz w:val="24"/>
          <w:szCs w:val="24"/>
        </w:rPr>
        <w:tab/>
      </w:r>
      <w:r w:rsidR="00975B17">
        <w:rPr>
          <w:sz w:val="24"/>
          <w:szCs w:val="24"/>
        </w:rPr>
        <w:t>J. Stevens</w:t>
      </w:r>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975B17">
        <w:rPr>
          <w:b/>
          <w:sz w:val="24"/>
          <w:szCs w:val="24"/>
        </w:rPr>
        <w:t xml:space="preserve"> </w:t>
      </w:r>
      <w:r w:rsidR="00975B17">
        <w:rPr>
          <w:sz w:val="24"/>
          <w:szCs w:val="24"/>
        </w:rPr>
        <w:t>January 29, 2010</w:t>
      </w:r>
    </w:p>
    <w:p w:rsidR="00E16E68" w:rsidRPr="000933B7" w:rsidRDefault="00E16E68" w:rsidP="00E16E68">
      <w:pPr>
        <w:rPr>
          <w:sz w:val="24"/>
          <w:szCs w:val="24"/>
        </w:rPr>
      </w:pPr>
      <w:r>
        <w:rPr>
          <w:b/>
          <w:sz w:val="24"/>
          <w:szCs w:val="24"/>
        </w:rPr>
        <w:t>Tags:</w:t>
      </w:r>
      <w:r w:rsidR="000933B7">
        <w:rPr>
          <w:sz w:val="24"/>
          <w:szCs w:val="24"/>
        </w:rPr>
        <w:t xml:space="preserve"> </w:t>
      </w:r>
      <w:r w:rsidR="00975B17">
        <w:rPr>
          <w:sz w:val="24"/>
          <w:szCs w:val="24"/>
        </w:rPr>
        <w:t>PFA, ICC, stalking, harassment, bail, texting, flyers, herpes</w:t>
      </w:r>
    </w:p>
    <w:p w:rsidR="00E16E68" w:rsidRPr="000933B7" w:rsidRDefault="00E16E68" w:rsidP="00E16E68">
      <w:pPr>
        <w:rPr>
          <w:sz w:val="24"/>
          <w:szCs w:val="24"/>
        </w:rPr>
      </w:pPr>
      <w:r>
        <w:rPr>
          <w:b/>
          <w:sz w:val="24"/>
          <w:szCs w:val="24"/>
        </w:rPr>
        <w:t>Facts:</w:t>
      </w:r>
      <w:r w:rsidR="000933B7">
        <w:rPr>
          <w:sz w:val="24"/>
          <w:szCs w:val="24"/>
        </w:rPr>
        <w:t xml:space="preserve"> </w:t>
      </w:r>
      <w:r w:rsidR="00975B17">
        <w:rPr>
          <w:sz w:val="24"/>
          <w:szCs w:val="24"/>
        </w:rPr>
        <w:t xml:space="preserve">Abed &amp; C.Z. had dating relationship.  Woman ended </w:t>
      </w:r>
      <w:proofErr w:type="gramStart"/>
      <w:r w:rsidR="00975B17">
        <w:rPr>
          <w:sz w:val="24"/>
          <w:szCs w:val="24"/>
        </w:rPr>
        <w:t>relationship,</w:t>
      </w:r>
      <w:proofErr w:type="gramEnd"/>
      <w:r w:rsidR="00975B17">
        <w:rPr>
          <w:sz w:val="24"/>
          <w:szCs w:val="24"/>
        </w:rPr>
        <w:t xml:space="preserve"> Abed sent her threatening text messages (40 per day) and created flyers stating that she was transmitting herpes to others.  C.Z. filed for PFA order, which was granted.  Harassment continued with calls, texts, and more flyers. </w:t>
      </w:r>
      <w:proofErr w:type="gramStart"/>
      <w:r w:rsidR="00975B17">
        <w:rPr>
          <w:sz w:val="24"/>
          <w:szCs w:val="24"/>
        </w:rPr>
        <w:t>ICC hearing, w/ sentencing.</w:t>
      </w:r>
      <w:proofErr w:type="gramEnd"/>
    </w:p>
    <w:p w:rsidR="0010547E" w:rsidRDefault="00E16E68" w:rsidP="0015215A">
      <w:pPr>
        <w:spacing w:after="0"/>
        <w:rPr>
          <w:sz w:val="24"/>
          <w:szCs w:val="24"/>
        </w:rPr>
      </w:pPr>
      <w:r>
        <w:rPr>
          <w:b/>
          <w:sz w:val="24"/>
          <w:szCs w:val="24"/>
        </w:rPr>
        <w:t>Gravamen/Question(s) at issue:</w:t>
      </w:r>
      <w:r w:rsidR="000933B7">
        <w:rPr>
          <w:sz w:val="24"/>
          <w:szCs w:val="24"/>
        </w:rPr>
        <w:t xml:space="preserve"> </w:t>
      </w:r>
    </w:p>
    <w:p w:rsidR="00975B17" w:rsidRPr="00975B17" w:rsidRDefault="00975B17" w:rsidP="00975B17">
      <w:pPr>
        <w:pStyle w:val="ListParagraph"/>
        <w:numPr>
          <w:ilvl w:val="0"/>
          <w:numId w:val="3"/>
        </w:numPr>
        <w:spacing w:after="0"/>
        <w:rPr>
          <w:sz w:val="24"/>
          <w:szCs w:val="24"/>
        </w:rPr>
      </w:pPr>
      <w:r>
        <w:t>Did the trial court err in not granting the defense motion for judgment of acquittal as to the crime of stalking?</w:t>
      </w:r>
    </w:p>
    <w:p w:rsidR="00975B17" w:rsidRPr="00975B17" w:rsidRDefault="00975B17" w:rsidP="00975B17">
      <w:pPr>
        <w:pStyle w:val="ListParagraph"/>
        <w:numPr>
          <w:ilvl w:val="0"/>
          <w:numId w:val="3"/>
        </w:numPr>
        <w:spacing w:after="0"/>
        <w:rPr>
          <w:sz w:val="24"/>
          <w:szCs w:val="24"/>
        </w:rPr>
      </w:pPr>
      <w:r>
        <w:t>Did the trial court err in not granting the defense motion for judgment of acquittal as to the charge of contempt for violation of order or agreement?</w:t>
      </w:r>
    </w:p>
    <w:p w:rsidR="00975B17" w:rsidRPr="00975B17" w:rsidRDefault="00975B17" w:rsidP="00975B17">
      <w:pPr>
        <w:pStyle w:val="ListParagraph"/>
        <w:numPr>
          <w:ilvl w:val="0"/>
          <w:numId w:val="3"/>
        </w:numPr>
        <w:spacing w:after="0"/>
        <w:rPr>
          <w:sz w:val="24"/>
          <w:szCs w:val="24"/>
        </w:rPr>
      </w:pPr>
      <w:r>
        <w:t>Did the trial court err in revoking [Appellant’s] bail after the verdicts of guilty were rendered and before sentencing?</w:t>
      </w:r>
    </w:p>
    <w:p w:rsidR="0015215A" w:rsidRPr="0010547E" w:rsidRDefault="0015215A" w:rsidP="0015215A">
      <w:pPr>
        <w:spacing w:after="0"/>
        <w:rPr>
          <w:sz w:val="24"/>
          <w:szCs w:val="24"/>
        </w:rPr>
      </w:pPr>
    </w:p>
    <w:p w:rsidR="0015215A" w:rsidRDefault="00E16E68" w:rsidP="00E16E68">
      <w:pPr>
        <w:rPr>
          <w:sz w:val="24"/>
          <w:szCs w:val="24"/>
        </w:rPr>
      </w:pPr>
      <w:r>
        <w:rPr>
          <w:b/>
          <w:sz w:val="24"/>
          <w:szCs w:val="24"/>
        </w:rPr>
        <w:t>Holdings:</w:t>
      </w:r>
      <w:r w:rsidR="000933B7">
        <w:rPr>
          <w:sz w:val="24"/>
          <w:szCs w:val="24"/>
        </w:rPr>
        <w:t xml:space="preserve"> </w:t>
      </w:r>
      <w:r w:rsidR="001D45CF">
        <w:rPr>
          <w:sz w:val="24"/>
          <w:szCs w:val="24"/>
        </w:rPr>
        <w:t>Sentence and revocation of bail were appropriate.</w:t>
      </w:r>
    </w:p>
    <w:p w:rsidR="00E16E68" w:rsidRDefault="00E16E68" w:rsidP="00E16E68">
      <w:pPr>
        <w:rPr>
          <w:sz w:val="24"/>
          <w:szCs w:val="24"/>
        </w:rPr>
      </w:pPr>
      <w:r>
        <w:rPr>
          <w:b/>
          <w:sz w:val="24"/>
          <w:szCs w:val="24"/>
        </w:rPr>
        <w:t>Rationale:</w:t>
      </w:r>
      <w:r w:rsidR="0010547E">
        <w:rPr>
          <w:sz w:val="24"/>
          <w:szCs w:val="24"/>
        </w:rPr>
        <w:t xml:space="preserve"> </w:t>
      </w:r>
      <w:r w:rsidR="00514F47">
        <w:rPr>
          <w:sz w:val="24"/>
          <w:szCs w:val="24"/>
        </w:rPr>
        <w:t>A conviction of stalking doesn’t require that there be physical contact; threats and fear for personal safety are enough.  You can’t complain about not hearing about the PFA details for the first time on appeal.  Trial court had authority to modify and existing bail order in the interest of protecting any person or the community.</w:t>
      </w:r>
    </w:p>
    <w:p w:rsidR="0015215A" w:rsidRPr="00975B17" w:rsidRDefault="0015215A" w:rsidP="00E16E68">
      <w:pPr>
        <w:rPr>
          <w:sz w:val="24"/>
          <w:szCs w:val="24"/>
        </w:rPr>
      </w:pPr>
      <w:r>
        <w:rPr>
          <w:b/>
          <w:sz w:val="24"/>
          <w:szCs w:val="24"/>
        </w:rPr>
        <w:t>Trial Court Input:</w:t>
      </w:r>
      <w:r w:rsidR="00975B17">
        <w:rPr>
          <w:sz w:val="24"/>
          <w:szCs w:val="24"/>
        </w:rPr>
        <w:t xml:space="preserve"> Denied </w:t>
      </w:r>
      <w:proofErr w:type="spellStart"/>
      <w:r w:rsidR="00975B17">
        <w:rPr>
          <w:sz w:val="24"/>
          <w:szCs w:val="24"/>
        </w:rPr>
        <w:t>Abed’s</w:t>
      </w:r>
      <w:proofErr w:type="spellEnd"/>
      <w:r w:rsidR="00975B17">
        <w:rPr>
          <w:sz w:val="24"/>
          <w:szCs w:val="24"/>
        </w:rPr>
        <w:t xml:space="preserve"> motions for acquittal and revoked bail.</w:t>
      </w:r>
      <w:r w:rsidR="003C1045">
        <w:rPr>
          <w:sz w:val="24"/>
          <w:szCs w:val="24"/>
        </w:rPr>
        <w:t xml:space="preserve">  Trial judge noted that </w:t>
      </w:r>
      <w:proofErr w:type="spellStart"/>
      <w:r w:rsidR="003C1045">
        <w:rPr>
          <w:sz w:val="24"/>
          <w:szCs w:val="24"/>
        </w:rPr>
        <w:t>Abed’s</w:t>
      </w:r>
      <w:proofErr w:type="spellEnd"/>
      <w:r w:rsidR="003C1045">
        <w:rPr>
          <w:sz w:val="24"/>
          <w:szCs w:val="24"/>
        </w:rPr>
        <w:t xml:space="preserve"> behavior toward complainant during hearing indicated that he was still bitter and dangerous to her.</w:t>
      </w:r>
    </w:p>
    <w:p w:rsidR="0015215A" w:rsidRPr="001D45CF" w:rsidRDefault="0015215A" w:rsidP="00E16E68">
      <w:pPr>
        <w:rPr>
          <w:sz w:val="24"/>
          <w:szCs w:val="24"/>
        </w:rPr>
      </w:pPr>
      <w:r>
        <w:rPr>
          <w:b/>
          <w:sz w:val="24"/>
          <w:szCs w:val="24"/>
        </w:rPr>
        <w:t>Dicta:</w:t>
      </w:r>
      <w:r w:rsidR="001D45CF">
        <w:rPr>
          <w:sz w:val="24"/>
          <w:szCs w:val="24"/>
        </w:rPr>
        <w:t xml:space="preserve"> </w:t>
      </w:r>
    </w:p>
    <w:p w:rsidR="0015215A" w:rsidRDefault="006A18CC" w:rsidP="006A18CC">
      <w:pPr>
        <w:spacing w:after="0"/>
        <w:rPr>
          <w:sz w:val="24"/>
          <w:szCs w:val="24"/>
        </w:rPr>
      </w:pPr>
      <w:r>
        <w:rPr>
          <w:b/>
          <w:sz w:val="24"/>
          <w:szCs w:val="24"/>
        </w:rPr>
        <w:t xml:space="preserve">Concurring </w:t>
      </w:r>
      <w:r w:rsidR="0015215A">
        <w:rPr>
          <w:b/>
          <w:sz w:val="24"/>
          <w:szCs w:val="24"/>
        </w:rPr>
        <w:t>/</w:t>
      </w:r>
      <w:r>
        <w:rPr>
          <w:b/>
          <w:sz w:val="24"/>
          <w:szCs w:val="24"/>
        </w:rPr>
        <w:t xml:space="preserve"> </w:t>
      </w:r>
      <w:r w:rsidR="00E16E68">
        <w:rPr>
          <w:b/>
          <w:sz w:val="24"/>
          <w:szCs w:val="24"/>
        </w:rPr>
        <w:t>Dissent</w:t>
      </w:r>
      <w:r>
        <w:rPr>
          <w:b/>
          <w:sz w:val="24"/>
          <w:szCs w:val="24"/>
        </w:rPr>
        <w:t>ing Opinion</w:t>
      </w:r>
      <w:r w:rsidR="00E16E68">
        <w:rPr>
          <w:b/>
          <w:sz w:val="24"/>
          <w:szCs w:val="24"/>
        </w:rPr>
        <w:t>:</w:t>
      </w:r>
      <w:r>
        <w:rPr>
          <w:sz w:val="24"/>
          <w:szCs w:val="24"/>
        </w:rPr>
        <w:t xml:space="preserve"> </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Attorneys’ Arguments:</w:t>
      </w:r>
    </w:p>
    <w:p w:rsidR="001D45CF" w:rsidRDefault="001D45CF" w:rsidP="001D45CF">
      <w:pPr>
        <w:pStyle w:val="ListParagraph"/>
        <w:numPr>
          <w:ilvl w:val="0"/>
          <w:numId w:val="6"/>
        </w:numPr>
        <w:spacing w:after="0"/>
        <w:rPr>
          <w:sz w:val="24"/>
          <w:szCs w:val="24"/>
        </w:rPr>
      </w:pPr>
      <w:r>
        <w:rPr>
          <w:sz w:val="24"/>
          <w:szCs w:val="24"/>
        </w:rPr>
        <w:t>Appellant:  Stalking conviction can’t stand because there was no proof of physical contact.  (“We find this assertion utterly baseless, as the statute clearly does not require physical contact as a necessary element of stalking,” 6.)</w:t>
      </w:r>
    </w:p>
    <w:p w:rsidR="00514F47" w:rsidRDefault="00514F47" w:rsidP="001D45CF">
      <w:pPr>
        <w:pStyle w:val="ListParagraph"/>
        <w:numPr>
          <w:ilvl w:val="0"/>
          <w:numId w:val="6"/>
        </w:numPr>
        <w:spacing w:after="0"/>
        <w:rPr>
          <w:sz w:val="24"/>
          <w:szCs w:val="24"/>
        </w:rPr>
      </w:pPr>
      <w:r>
        <w:rPr>
          <w:sz w:val="24"/>
          <w:szCs w:val="24"/>
        </w:rPr>
        <w:t xml:space="preserve">Appellant:  You can’t prove that I was the one sending around the flyers.  (Sup. Court – </w:t>
      </w:r>
      <w:proofErr w:type="gramStart"/>
      <w:r>
        <w:rPr>
          <w:sz w:val="24"/>
          <w:szCs w:val="24"/>
        </w:rPr>
        <w:t>nah, that</w:t>
      </w:r>
      <w:proofErr w:type="gramEnd"/>
      <w:r>
        <w:rPr>
          <w:sz w:val="24"/>
          <w:szCs w:val="24"/>
        </w:rPr>
        <w:t xml:space="preserve"> was pretty easy to establish.)</w:t>
      </w:r>
    </w:p>
    <w:p w:rsidR="00514F47" w:rsidRDefault="00514F47" w:rsidP="001D45CF">
      <w:pPr>
        <w:pStyle w:val="ListParagraph"/>
        <w:numPr>
          <w:ilvl w:val="0"/>
          <w:numId w:val="6"/>
        </w:numPr>
        <w:spacing w:after="0"/>
        <w:rPr>
          <w:sz w:val="24"/>
          <w:szCs w:val="24"/>
        </w:rPr>
      </w:pPr>
      <w:r>
        <w:rPr>
          <w:sz w:val="24"/>
          <w:szCs w:val="24"/>
        </w:rPr>
        <w:t>Appellant:  How could I know about the violation of the PFA if it wasn’t on record from the trial court? (You didn’t object to it at that time, so you can’t object to it now.)</w:t>
      </w:r>
    </w:p>
    <w:p w:rsidR="00514F47" w:rsidRPr="001D45CF" w:rsidRDefault="00514F47" w:rsidP="001D45CF">
      <w:pPr>
        <w:pStyle w:val="ListParagraph"/>
        <w:numPr>
          <w:ilvl w:val="0"/>
          <w:numId w:val="6"/>
        </w:numPr>
        <w:spacing w:after="0"/>
        <w:rPr>
          <w:sz w:val="24"/>
          <w:szCs w:val="24"/>
        </w:rPr>
      </w:pPr>
      <w:r>
        <w:rPr>
          <w:sz w:val="24"/>
          <w:szCs w:val="24"/>
        </w:rPr>
        <w:t>Appellant: You shouldn’t have revoked my bail prior to sentencing.  (Trial court has discretion to do so.)</w:t>
      </w:r>
    </w:p>
    <w:p w:rsidR="006A18CC" w:rsidRPr="0010547E" w:rsidRDefault="006A18CC" w:rsidP="006A18CC">
      <w:pPr>
        <w:pStyle w:val="ListParagraph"/>
        <w:spacing w:after="0"/>
        <w:rPr>
          <w:sz w:val="24"/>
          <w:szCs w:val="24"/>
        </w:rPr>
      </w:pPr>
    </w:p>
    <w:p w:rsidR="00E16E68" w:rsidRDefault="00E16E68" w:rsidP="0010547E">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1D45CF" w:rsidRDefault="001D45CF" w:rsidP="001D45CF">
      <w:pPr>
        <w:pStyle w:val="ListParagraph"/>
        <w:numPr>
          <w:ilvl w:val="0"/>
          <w:numId w:val="5"/>
        </w:numPr>
        <w:spacing w:after="0"/>
        <w:rPr>
          <w:sz w:val="24"/>
          <w:szCs w:val="24"/>
        </w:rPr>
      </w:pPr>
      <w:r>
        <w:rPr>
          <w:b/>
          <w:i/>
          <w:sz w:val="24"/>
          <w:szCs w:val="24"/>
        </w:rPr>
        <w:t>Commonwealth v. Hutchinson</w:t>
      </w:r>
      <w:r>
        <w:rPr>
          <w:sz w:val="24"/>
          <w:szCs w:val="24"/>
        </w:rPr>
        <w:t xml:space="preserve"> (2008) – discretion of the </w:t>
      </w:r>
      <w:proofErr w:type="spellStart"/>
      <w:r>
        <w:rPr>
          <w:sz w:val="24"/>
          <w:szCs w:val="24"/>
        </w:rPr>
        <w:t>trier</w:t>
      </w:r>
      <w:proofErr w:type="spellEnd"/>
      <w:r>
        <w:rPr>
          <w:sz w:val="24"/>
          <w:szCs w:val="24"/>
        </w:rPr>
        <w:t xml:space="preserve"> of fact to pass upon the credibility of witnesses and the weight of the evidence produced and to believe all, part, or none of the evidence</w:t>
      </w:r>
    </w:p>
    <w:p w:rsidR="001D45CF" w:rsidRPr="001D45CF" w:rsidRDefault="001D45CF" w:rsidP="001D45CF">
      <w:pPr>
        <w:pStyle w:val="ListParagraph"/>
        <w:numPr>
          <w:ilvl w:val="0"/>
          <w:numId w:val="5"/>
        </w:numPr>
        <w:spacing w:after="0"/>
        <w:rPr>
          <w:b/>
          <w:sz w:val="24"/>
          <w:szCs w:val="24"/>
        </w:rPr>
      </w:pPr>
      <w:r>
        <w:rPr>
          <w:b/>
          <w:sz w:val="24"/>
          <w:szCs w:val="24"/>
        </w:rPr>
        <w:t xml:space="preserve">18 PA C.S.A. </w:t>
      </w:r>
      <w:r w:rsidRPr="001D45CF">
        <w:rPr>
          <w:b/>
        </w:rPr>
        <w:t>§ 2709.1</w:t>
      </w:r>
      <w:r>
        <w:t xml:space="preserve"> </w:t>
      </w:r>
      <w:r>
        <w:rPr>
          <w:sz w:val="24"/>
          <w:szCs w:val="24"/>
        </w:rPr>
        <w:t>– defines stalking &amp; “course of conduct” (pattern of actions, including “</w:t>
      </w:r>
      <w:r>
        <w:t>lewd, lascivious, threatening or obscene words, language, drawings, caricatures or actions, either in person or anonymously.”)</w:t>
      </w:r>
    </w:p>
    <w:p w:rsidR="001D45CF" w:rsidRPr="00514F47" w:rsidRDefault="001D45CF" w:rsidP="001D45CF">
      <w:pPr>
        <w:pStyle w:val="ListParagraph"/>
        <w:numPr>
          <w:ilvl w:val="0"/>
          <w:numId w:val="5"/>
        </w:numPr>
        <w:spacing w:after="0"/>
        <w:rPr>
          <w:b/>
          <w:sz w:val="24"/>
          <w:szCs w:val="24"/>
        </w:rPr>
      </w:pPr>
      <w:r>
        <w:rPr>
          <w:b/>
          <w:i/>
          <w:sz w:val="24"/>
          <w:szCs w:val="24"/>
        </w:rPr>
        <w:t>Commonwealth v. Miller</w:t>
      </w:r>
      <w:r>
        <w:rPr>
          <w:sz w:val="24"/>
          <w:szCs w:val="24"/>
        </w:rPr>
        <w:t xml:space="preserve"> (1997) – “in which this Court rejected as ‘ludicrous’ a similar argument that the defendant could not be convicted of stalking when he did not cause physical harm or attempt to harm his victim.” (6) (IOW, intention to cause alarm or emotional distress is sufficient for a conviction)</w:t>
      </w:r>
    </w:p>
    <w:p w:rsidR="00514F47" w:rsidRPr="00514F47" w:rsidRDefault="00514F47" w:rsidP="001D45CF">
      <w:pPr>
        <w:pStyle w:val="ListParagraph"/>
        <w:numPr>
          <w:ilvl w:val="0"/>
          <w:numId w:val="5"/>
        </w:numPr>
        <w:spacing w:after="0"/>
        <w:rPr>
          <w:b/>
          <w:sz w:val="24"/>
          <w:szCs w:val="24"/>
        </w:rPr>
      </w:pPr>
      <w:r>
        <w:rPr>
          <w:b/>
          <w:sz w:val="24"/>
          <w:szCs w:val="24"/>
        </w:rPr>
        <w:t xml:space="preserve">23 PA C.S.A. § 6114(a) </w:t>
      </w:r>
      <w:r>
        <w:rPr>
          <w:sz w:val="24"/>
          <w:szCs w:val="24"/>
        </w:rPr>
        <w:t>– rule about contempt for violation of order of agreement</w:t>
      </w:r>
    </w:p>
    <w:p w:rsidR="00514F47" w:rsidRPr="00514F47" w:rsidRDefault="00514F47" w:rsidP="001D45CF">
      <w:pPr>
        <w:pStyle w:val="ListParagraph"/>
        <w:numPr>
          <w:ilvl w:val="0"/>
          <w:numId w:val="5"/>
        </w:numPr>
        <w:spacing w:after="0"/>
        <w:rPr>
          <w:b/>
          <w:sz w:val="24"/>
          <w:szCs w:val="24"/>
        </w:rPr>
      </w:pPr>
      <w:r>
        <w:rPr>
          <w:b/>
          <w:sz w:val="24"/>
          <w:szCs w:val="24"/>
        </w:rPr>
        <w:t>PA R.A.P. 302(a)</w:t>
      </w:r>
      <w:r>
        <w:rPr>
          <w:sz w:val="24"/>
          <w:szCs w:val="24"/>
        </w:rPr>
        <w:t xml:space="preserve"> – </w:t>
      </w:r>
      <w:r>
        <w:t>“Issues not raised in the lower court are waived and cannot be raised for the first time on appeal” (re. Appellant’s failure to address his complaints about the PFA in court; can’t be addressed now.)</w:t>
      </w:r>
    </w:p>
    <w:p w:rsidR="00514F47" w:rsidRPr="001D45CF" w:rsidRDefault="00514F47" w:rsidP="001D45CF">
      <w:pPr>
        <w:pStyle w:val="ListParagraph"/>
        <w:numPr>
          <w:ilvl w:val="0"/>
          <w:numId w:val="5"/>
        </w:numPr>
        <w:spacing w:after="0"/>
        <w:rPr>
          <w:b/>
          <w:sz w:val="24"/>
          <w:szCs w:val="24"/>
        </w:rPr>
      </w:pPr>
      <w:r>
        <w:rPr>
          <w:b/>
          <w:sz w:val="24"/>
          <w:szCs w:val="24"/>
        </w:rPr>
        <w:t>PA R. Crim. P. (521 (A</w:t>
      </w:r>
      <w:proofErr w:type="gramStart"/>
      <w:r>
        <w:rPr>
          <w:b/>
          <w:sz w:val="24"/>
          <w:szCs w:val="24"/>
        </w:rPr>
        <w:t>)(</w:t>
      </w:r>
      <w:proofErr w:type="gramEnd"/>
      <w:r>
        <w:rPr>
          <w:b/>
          <w:sz w:val="24"/>
          <w:szCs w:val="24"/>
        </w:rPr>
        <w:t>2)(b)</w:t>
      </w:r>
      <w:r>
        <w:rPr>
          <w:sz w:val="24"/>
          <w:szCs w:val="24"/>
        </w:rPr>
        <w:t xml:space="preserve"> – trial court can modify bail if defendant poses a danger to any other person or to the community or to himself or herself.</w:t>
      </w:r>
    </w:p>
    <w:p w:rsidR="0015215A" w:rsidRDefault="0015215A" w:rsidP="0010547E">
      <w:pPr>
        <w:spacing w:after="0"/>
        <w:rPr>
          <w:b/>
          <w:sz w:val="24"/>
          <w:szCs w:val="24"/>
        </w:rPr>
      </w:pPr>
    </w:p>
    <w:p w:rsidR="0015215A" w:rsidRDefault="0015215A" w:rsidP="0010547E">
      <w:pPr>
        <w:spacing w:after="0"/>
        <w:rPr>
          <w:sz w:val="24"/>
          <w:szCs w:val="24"/>
        </w:rPr>
      </w:pPr>
      <w:r>
        <w:rPr>
          <w:b/>
          <w:sz w:val="24"/>
          <w:szCs w:val="24"/>
        </w:rPr>
        <w:t>Commentary:</w:t>
      </w:r>
    </w:p>
    <w:p w:rsidR="00975B17" w:rsidRDefault="00975B17" w:rsidP="00975B17">
      <w:pPr>
        <w:pStyle w:val="ListParagraph"/>
        <w:numPr>
          <w:ilvl w:val="0"/>
          <w:numId w:val="4"/>
        </w:numPr>
        <w:spacing w:after="0"/>
        <w:rPr>
          <w:sz w:val="24"/>
          <w:szCs w:val="24"/>
        </w:rPr>
      </w:pPr>
      <w:r w:rsidRPr="00975B17">
        <w:rPr>
          <w:i/>
          <w:sz w:val="24"/>
          <w:szCs w:val="24"/>
        </w:rPr>
        <w:t>Motion for judgment of acquittal</w:t>
      </w:r>
      <w:r>
        <w:rPr>
          <w:sz w:val="24"/>
          <w:szCs w:val="24"/>
        </w:rPr>
        <w:t xml:space="preserve"> – was the evidence sufficient to sustain a conviction on a particular charge?  Did Commonwealth fail to carry its burden regarding that charge?</w:t>
      </w:r>
      <w:r w:rsidR="001D45CF">
        <w:rPr>
          <w:sz w:val="24"/>
          <w:szCs w:val="24"/>
        </w:rPr>
        <w:t xml:space="preserve">  (Fact finder has to find every element of the crime BEYOND A REASONABLE DOUBT)</w:t>
      </w:r>
    </w:p>
    <w:p w:rsidR="001D45CF" w:rsidRDefault="001D45CF" w:rsidP="00975B17">
      <w:pPr>
        <w:pStyle w:val="ListParagraph"/>
        <w:numPr>
          <w:ilvl w:val="0"/>
          <w:numId w:val="4"/>
        </w:numPr>
        <w:spacing w:after="0"/>
        <w:rPr>
          <w:sz w:val="24"/>
          <w:szCs w:val="24"/>
        </w:rPr>
      </w:pPr>
      <w:r>
        <w:rPr>
          <w:sz w:val="24"/>
          <w:szCs w:val="24"/>
        </w:rPr>
        <w:t xml:space="preserve">Note that Superior Court should defer to lower court re. </w:t>
      </w:r>
      <w:proofErr w:type="gramStart"/>
      <w:r>
        <w:rPr>
          <w:sz w:val="24"/>
          <w:szCs w:val="24"/>
        </w:rPr>
        <w:t>credibility</w:t>
      </w:r>
      <w:proofErr w:type="gramEnd"/>
      <w:r>
        <w:rPr>
          <w:sz w:val="24"/>
          <w:szCs w:val="24"/>
        </w:rPr>
        <w:t xml:space="preserve"> of witnesses and believability of evidence.</w:t>
      </w:r>
    </w:p>
    <w:p w:rsidR="001D45CF" w:rsidRPr="00975B17" w:rsidRDefault="001D45CF" w:rsidP="00975B17">
      <w:pPr>
        <w:pStyle w:val="ListParagraph"/>
        <w:numPr>
          <w:ilvl w:val="0"/>
          <w:numId w:val="4"/>
        </w:numPr>
        <w:spacing w:after="0"/>
        <w:rPr>
          <w:sz w:val="24"/>
          <w:szCs w:val="24"/>
        </w:rPr>
      </w:pPr>
      <w:r>
        <w:rPr>
          <w:i/>
          <w:sz w:val="24"/>
          <w:szCs w:val="24"/>
        </w:rPr>
        <w:t>“</w:t>
      </w:r>
      <w:r>
        <w:t xml:space="preserve">Any doubts regarding a defendant's guilt may be resolved by the fact-finder unless the evidence is so weak and inconclusive that as a matter of law no probability of fact may be drawn from the combined circumstances.” (from </w:t>
      </w:r>
      <w:r>
        <w:rPr>
          <w:i/>
        </w:rPr>
        <w:t>Comm. v. Hutchinson</w:t>
      </w:r>
      <w:r>
        <w:t>)</w:t>
      </w:r>
    </w:p>
    <w:sectPr w:rsidR="001D45CF" w:rsidRPr="00975B17"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145A" w:rsidRDefault="005D145A" w:rsidP="00E16E68">
      <w:pPr>
        <w:spacing w:after="0" w:line="240" w:lineRule="auto"/>
      </w:pPr>
      <w:r>
        <w:separator/>
      </w:r>
    </w:p>
  </w:endnote>
  <w:endnote w:type="continuationSeparator" w:id="0">
    <w:p w:rsidR="005D145A" w:rsidRDefault="005D145A"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145A" w:rsidRDefault="005D145A" w:rsidP="00E16E68">
      <w:pPr>
        <w:spacing w:after="0" w:line="240" w:lineRule="auto"/>
      </w:pPr>
      <w:r>
        <w:separator/>
      </w:r>
    </w:p>
  </w:footnote>
  <w:footnote w:type="continuationSeparator" w:id="0">
    <w:p w:rsidR="005D145A" w:rsidRDefault="005D145A"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975B17">
      <w:t>2010</w:t>
    </w:r>
    <w:r w:rsidR="00E16E68">
      <w:tab/>
    </w:r>
    <w:r w:rsidR="00975B17">
      <w:t>Comm. v. Abed</w:t>
    </w:r>
  </w:p>
  <w:p w:rsidR="00F95A0E" w:rsidRDefault="00F95A0E" w:rsidP="00F95A0E">
    <w:pPr>
      <w:pStyle w:val="Header"/>
      <w:jc w:val="right"/>
    </w:pPr>
    <w:r>
      <w:tab/>
    </w:r>
    <w:r>
      <w:tab/>
    </w:r>
    <w:r w:rsidR="00975B17">
      <w:t>FLYERS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054744"/>
    <w:multiLevelType w:val="hybridMultilevel"/>
    <w:tmpl w:val="AF74877A"/>
    <w:lvl w:ilvl="0" w:tplc="168EB3D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DA3907"/>
    <w:multiLevelType w:val="hybridMultilevel"/>
    <w:tmpl w:val="F4C006B4"/>
    <w:lvl w:ilvl="0" w:tplc="F178463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4463B3"/>
    <w:multiLevelType w:val="hybridMultilevel"/>
    <w:tmpl w:val="8E6C32E8"/>
    <w:lvl w:ilvl="0" w:tplc="50FC55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6024B70"/>
    <w:multiLevelType w:val="hybridMultilevel"/>
    <w:tmpl w:val="3CE4876E"/>
    <w:lvl w:ilvl="0" w:tplc="5F8E33D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33B7"/>
    <w:rsid w:val="0010547E"/>
    <w:rsid w:val="00144D3B"/>
    <w:rsid w:val="0015215A"/>
    <w:rsid w:val="0016476D"/>
    <w:rsid w:val="001D45CF"/>
    <w:rsid w:val="003C1045"/>
    <w:rsid w:val="00514F47"/>
    <w:rsid w:val="005D145A"/>
    <w:rsid w:val="005F2C53"/>
    <w:rsid w:val="00692188"/>
    <w:rsid w:val="006A18CC"/>
    <w:rsid w:val="007B337C"/>
    <w:rsid w:val="009645CA"/>
    <w:rsid w:val="00975B17"/>
    <w:rsid w:val="00A20DAD"/>
    <w:rsid w:val="00A41926"/>
    <w:rsid w:val="00A56A0E"/>
    <w:rsid w:val="00AA40E8"/>
    <w:rsid w:val="00C5621B"/>
    <w:rsid w:val="00C9069A"/>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614</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2016-10-20T20:50:00Z</dcterms:created>
  <dcterms:modified xsi:type="dcterms:W3CDTF">2016-10-20T20:50:00Z</dcterms:modified>
</cp:coreProperties>
</file>