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DF291A">
        <w:rPr>
          <w:sz w:val="24"/>
          <w:szCs w:val="24"/>
        </w:rPr>
        <w:t xml:space="preserve">Commonwealth of PA, </w:t>
      </w:r>
      <w:proofErr w:type="spellStart"/>
      <w:r w:rsidR="00DF291A">
        <w:rPr>
          <w:sz w:val="24"/>
          <w:szCs w:val="24"/>
        </w:rPr>
        <w:t>Appellee</w:t>
      </w:r>
      <w:proofErr w:type="spellEnd"/>
      <w:r w:rsidR="00DF291A">
        <w:rPr>
          <w:sz w:val="24"/>
          <w:szCs w:val="24"/>
        </w:rPr>
        <w:t xml:space="preserve"> v. Ricky Lee </w:t>
      </w:r>
      <w:proofErr w:type="spellStart"/>
      <w:r w:rsidR="00DF291A">
        <w:rPr>
          <w:sz w:val="24"/>
          <w:szCs w:val="24"/>
        </w:rPr>
        <w:t>Aikins</w:t>
      </w:r>
      <w:proofErr w:type="spellEnd"/>
      <w:r w:rsidR="00DF291A">
        <w:rPr>
          <w:sz w:val="24"/>
          <w:szCs w:val="24"/>
        </w:rPr>
        <w:t>, Appellant</w:t>
      </w:r>
    </w:p>
    <w:p w:rsidR="00E16E68" w:rsidRPr="000933B7" w:rsidRDefault="00E16E68" w:rsidP="00E16E68">
      <w:pPr>
        <w:rPr>
          <w:sz w:val="24"/>
          <w:szCs w:val="24"/>
        </w:rPr>
      </w:pPr>
      <w:r>
        <w:rPr>
          <w:b/>
          <w:sz w:val="24"/>
          <w:szCs w:val="24"/>
        </w:rPr>
        <w:t>Judge:</w:t>
      </w:r>
      <w:r>
        <w:rPr>
          <w:b/>
          <w:sz w:val="24"/>
          <w:szCs w:val="24"/>
        </w:rPr>
        <w:tab/>
      </w:r>
      <w:r w:rsidR="00DF291A">
        <w:rPr>
          <w:sz w:val="24"/>
          <w:szCs w:val="24"/>
        </w:rPr>
        <w:t xml:space="preserve">J. </w:t>
      </w:r>
      <w:proofErr w:type="spellStart"/>
      <w:r w:rsidR="00DF291A">
        <w:rPr>
          <w:sz w:val="24"/>
          <w:szCs w:val="24"/>
        </w:rPr>
        <w:t>Tamilia</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DF291A">
        <w:rPr>
          <w:sz w:val="24"/>
          <w:szCs w:val="24"/>
        </w:rPr>
        <w:t>1993</w:t>
      </w:r>
    </w:p>
    <w:p w:rsidR="00E16E68" w:rsidRPr="000933B7" w:rsidRDefault="00E16E68" w:rsidP="00E16E68">
      <w:pPr>
        <w:rPr>
          <w:sz w:val="24"/>
          <w:szCs w:val="24"/>
        </w:rPr>
      </w:pPr>
      <w:r>
        <w:rPr>
          <w:b/>
          <w:sz w:val="24"/>
          <w:szCs w:val="24"/>
        </w:rPr>
        <w:t>Tags:</w:t>
      </w:r>
      <w:r w:rsidR="000933B7">
        <w:rPr>
          <w:sz w:val="24"/>
          <w:szCs w:val="24"/>
        </w:rPr>
        <w:t xml:space="preserve"> </w:t>
      </w:r>
      <w:r w:rsidR="00DF291A">
        <w:rPr>
          <w:sz w:val="24"/>
          <w:szCs w:val="24"/>
        </w:rPr>
        <w:t>PFA, ICC, protected premises, burglary</w:t>
      </w:r>
      <w:r w:rsidR="001207A7">
        <w:rPr>
          <w:sz w:val="24"/>
          <w:szCs w:val="24"/>
        </w:rPr>
        <w:t>, phone lines, Double Jeopardy</w:t>
      </w:r>
    </w:p>
    <w:p w:rsidR="00E16E68" w:rsidRPr="000933B7" w:rsidRDefault="00E16E68" w:rsidP="00E16E68">
      <w:pPr>
        <w:rPr>
          <w:sz w:val="24"/>
          <w:szCs w:val="24"/>
        </w:rPr>
      </w:pPr>
      <w:r>
        <w:rPr>
          <w:b/>
          <w:sz w:val="24"/>
          <w:szCs w:val="24"/>
        </w:rPr>
        <w:t>Facts:</w:t>
      </w:r>
      <w:r w:rsidR="000933B7">
        <w:rPr>
          <w:sz w:val="24"/>
          <w:szCs w:val="24"/>
        </w:rPr>
        <w:t xml:space="preserve"> </w:t>
      </w:r>
      <w:r w:rsidR="00DF291A">
        <w:rPr>
          <w:sz w:val="24"/>
          <w:szCs w:val="24"/>
        </w:rPr>
        <w:t>After final PFA order, defendant was arrested for trying to splice into telephone lines under plaintiff’s mobile home and was subsequently charged with criminal contempt.  “Prior to trial on the criminal charges, appellant filed a motion to dismiss on double jeopardy grounds.”</w:t>
      </w:r>
    </w:p>
    <w:p w:rsidR="0010547E" w:rsidRDefault="00E16E68" w:rsidP="0015215A">
      <w:pPr>
        <w:spacing w:after="0"/>
        <w:rPr>
          <w:sz w:val="24"/>
          <w:szCs w:val="24"/>
        </w:rPr>
      </w:pPr>
      <w:r>
        <w:rPr>
          <w:b/>
          <w:sz w:val="24"/>
          <w:szCs w:val="24"/>
        </w:rPr>
        <w:t>Gravamen/Question(s) at issue:</w:t>
      </w:r>
      <w:r w:rsidR="000933B7">
        <w:rPr>
          <w:sz w:val="24"/>
          <w:szCs w:val="24"/>
        </w:rPr>
        <w:t xml:space="preserve"> </w:t>
      </w:r>
      <w:r w:rsidR="00DF291A">
        <w:rPr>
          <w:sz w:val="24"/>
          <w:szCs w:val="24"/>
        </w:rPr>
        <w:t>Is a conviction for burglary precluded by a prior conviction on an ICC arising out of violation of PFA, when burglary committed on the premises protected by PFA?</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DC0C5D">
        <w:rPr>
          <w:sz w:val="24"/>
          <w:szCs w:val="24"/>
        </w:rPr>
        <w:t>Affirmed trial court’s judgment of sentence for ICC.</w:t>
      </w:r>
    </w:p>
    <w:p w:rsidR="00E16E68" w:rsidRDefault="00E16E68" w:rsidP="00E16E68">
      <w:pPr>
        <w:rPr>
          <w:sz w:val="24"/>
          <w:szCs w:val="24"/>
        </w:rPr>
      </w:pPr>
      <w:r>
        <w:rPr>
          <w:b/>
          <w:sz w:val="24"/>
          <w:szCs w:val="24"/>
        </w:rPr>
        <w:t>Rationale:</w:t>
      </w:r>
      <w:r w:rsidR="0010547E">
        <w:rPr>
          <w:sz w:val="24"/>
          <w:szCs w:val="24"/>
        </w:rPr>
        <w:t xml:space="preserve"> </w:t>
      </w:r>
      <w:proofErr w:type="gramStart"/>
      <w:r w:rsidR="00DF291A">
        <w:rPr>
          <w:sz w:val="24"/>
          <w:szCs w:val="24"/>
        </w:rPr>
        <w:t>Subsequent criminal charges after an ICC conviction does</w:t>
      </w:r>
      <w:proofErr w:type="gramEnd"/>
      <w:r w:rsidR="00DF291A">
        <w:rPr>
          <w:sz w:val="24"/>
          <w:szCs w:val="24"/>
        </w:rPr>
        <w:t xml:space="preserve"> not violate double jeopardy.</w:t>
      </w:r>
      <w:r w:rsidR="001207A7">
        <w:rPr>
          <w:sz w:val="24"/>
          <w:szCs w:val="24"/>
        </w:rPr>
        <w:t xml:space="preserve">  </w:t>
      </w:r>
    </w:p>
    <w:p w:rsidR="0015215A" w:rsidRDefault="0015215A" w:rsidP="001207A7">
      <w:pPr>
        <w:spacing w:after="0"/>
        <w:rPr>
          <w:sz w:val="24"/>
          <w:szCs w:val="24"/>
        </w:rPr>
      </w:pPr>
      <w:r>
        <w:rPr>
          <w:b/>
          <w:sz w:val="24"/>
          <w:szCs w:val="24"/>
        </w:rPr>
        <w:t>Dicta:</w:t>
      </w:r>
    </w:p>
    <w:p w:rsidR="001207A7" w:rsidRPr="001207A7" w:rsidRDefault="001207A7" w:rsidP="001207A7">
      <w:pPr>
        <w:pStyle w:val="ListParagraph"/>
        <w:numPr>
          <w:ilvl w:val="0"/>
          <w:numId w:val="4"/>
        </w:numPr>
        <w:spacing w:after="0"/>
        <w:rPr>
          <w:sz w:val="24"/>
          <w:szCs w:val="24"/>
        </w:rPr>
      </w:pPr>
      <w:r>
        <w:rPr>
          <w:color w:val="171E22"/>
        </w:rPr>
        <w:t>“Although the case before us involves</w:t>
      </w:r>
      <w:r>
        <w:rPr>
          <w:rStyle w:val="apple-converted-space"/>
          <w:color w:val="171E22"/>
        </w:rPr>
        <w:t> </w:t>
      </w:r>
      <w:r>
        <w:rPr>
          <w:i/>
          <w:iCs/>
          <w:color w:val="171E22"/>
        </w:rPr>
        <w:t>indirect</w:t>
      </w:r>
      <w:r>
        <w:rPr>
          <w:rStyle w:val="apple-converted-space"/>
          <w:color w:val="171E22"/>
        </w:rPr>
        <w:t> </w:t>
      </w:r>
      <w:r>
        <w:rPr>
          <w:color w:val="171E22"/>
        </w:rPr>
        <w:t>criminal contempt, we find the</w:t>
      </w:r>
      <w:r>
        <w:rPr>
          <w:rStyle w:val="apple-converted-space"/>
          <w:color w:val="171E22"/>
        </w:rPr>
        <w:t> </w:t>
      </w:r>
      <w:r>
        <w:rPr>
          <w:i/>
          <w:iCs/>
          <w:color w:val="171E22"/>
        </w:rPr>
        <w:t>Warrick II</w:t>
      </w:r>
      <w:r>
        <w:rPr>
          <w:rStyle w:val="apple-converted-space"/>
          <w:color w:val="171E22"/>
        </w:rPr>
        <w:t> </w:t>
      </w:r>
      <w:r>
        <w:rPr>
          <w:color w:val="171E22"/>
        </w:rPr>
        <w:t>Court's reasoning apt.”</w:t>
      </w:r>
      <w:r>
        <w:rPr>
          <w:rStyle w:val="apple-converted-space"/>
          <w:color w:val="171E22"/>
        </w:rPr>
        <w:t> </w:t>
      </w:r>
      <w:r>
        <w:rPr>
          <w:i/>
          <w:iCs/>
          <w:color w:val="171E22"/>
        </w:rPr>
        <w:t xml:space="preserve">Com. v. </w:t>
      </w:r>
      <w:proofErr w:type="spellStart"/>
      <w:r>
        <w:rPr>
          <w:i/>
          <w:iCs/>
          <w:color w:val="171E22"/>
        </w:rPr>
        <w:t>Aikins</w:t>
      </w:r>
      <w:proofErr w:type="spellEnd"/>
      <w:r>
        <w:rPr>
          <w:color w:val="171E22"/>
        </w:rPr>
        <w:t>, 422 Pa. Super. 15, 19 (Pa. Super. Ct. 1993</w:t>
      </w:r>
      <w:proofErr w:type="gramStart"/>
      <w:r>
        <w:rPr>
          <w:color w:val="171E22"/>
        </w:rPr>
        <w:t>)  (</w:t>
      </w:r>
      <w:proofErr w:type="gramEnd"/>
      <w:r>
        <w:rPr>
          <w:color w:val="171E22"/>
        </w:rPr>
        <w:t>IOW, criminal contempt + criminal conviction on same charges are held to be two separate things.)</w:t>
      </w:r>
    </w:p>
    <w:p w:rsidR="001207A7" w:rsidRPr="001207A7" w:rsidRDefault="001207A7" w:rsidP="001207A7">
      <w:pPr>
        <w:pStyle w:val="blockquote"/>
        <w:numPr>
          <w:ilvl w:val="0"/>
          <w:numId w:val="4"/>
        </w:numPr>
        <w:spacing w:before="0" w:beforeAutospacing="0" w:after="150" w:afterAutospacing="0"/>
        <w:rPr>
          <w:color w:val="171E22"/>
        </w:rPr>
      </w:pPr>
      <w:r>
        <w:rPr>
          <w:color w:val="171E22"/>
        </w:rPr>
        <w:t>“Applying the above principles to this case, it is clear beyond question that</w:t>
      </w:r>
      <w:r>
        <w:rPr>
          <w:rStyle w:val="apple-converted-space"/>
          <w:color w:val="171E22"/>
        </w:rPr>
        <w:t> </w:t>
      </w:r>
      <w:r>
        <w:rPr>
          <w:i/>
          <w:iCs/>
          <w:color w:val="171E22"/>
        </w:rPr>
        <w:t>Grady</w:t>
      </w:r>
      <w:r>
        <w:rPr>
          <w:rStyle w:val="apple-converted-space"/>
          <w:color w:val="171E22"/>
        </w:rPr>
        <w:t> </w:t>
      </w:r>
      <w:r>
        <w:rPr>
          <w:color w:val="171E22"/>
        </w:rPr>
        <w:t xml:space="preserve">does not and was never intended to prevent the effective implementation of the PFA Act in imposing contempt penalties, albeit they are criminal in nature, and involve the same facts as a contemporaneous substantive offense, when the alternative is to deny prosecution of the substantive offense.” </w:t>
      </w:r>
      <w:r w:rsidRPr="001207A7">
        <w:rPr>
          <w:i/>
          <w:iCs/>
          <w:color w:val="171E22"/>
        </w:rPr>
        <w:t xml:space="preserve">Com. v. </w:t>
      </w:r>
      <w:proofErr w:type="spellStart"/>
      <w:r w:rsidRPr="001207A7">
        <w:rPr>
          <w:i/>
          <w:iCs/>
          <w:color w:val="171E22"/>
        </w:rPr>
        <w:t>Aikins</w:t>
      </w:r>
      <w:proofErr w:type="spellEnd"/>
      <w:r w:rsidRPr="001207A7">
        <w:rPr>
          <w:color w:val="171E22"/>
        </w:rPr>
        <w:t xml:space="preserve">, 422 Pa. Super. </w:t>
      </w:r>
      <w:proofErr w:type="gramStart"/>
      <w:r w:rsidRPr="001207A7">
        <w:rPr>
          <w:color w:val="171E22"/>
        </w:rPr>
        <w:t>15, 19 (Pa. Super.</w:t>
      </w:r>
      <w:proofErr w:type="gramEnd"/>
      <w:r w:rsidRPr="001207A7">
        <w:rPr>
          <w:color w:val="171E22"/>
        </w:rPr>
        <w:t xml:space="preserve"> Ct. 1993)</w:t>
      </w:r>
    </w:p>
    <w:p w:rsidR="001207A7" w:rsidRPr="001207A7" w:rsidRDefault="001207A7" w:rsidP="001207A7">
      <w:pPr>
        <w:pStyle w:val="ListParagraph"/>
        <w:numPr>
          <w:ilvl w:val="0"/>
          <w:numId w:val="4"/>
        </w:numPr>
        <w:spacing w:after="0"/>
        <w:rPr>
          <w:sz w:val="24"/>
          <w:szCs w:val="24"/>
        </w:rPr>
      </w:pPr>
      <w:r>
        <w:rPr>
          <w:sz w:val="24"/>
          <w:szCs w:val="24"/>
        </w:rPr>
        <w:t xml:space="preserve">Taking care of ICC should happen first in the courts, because waiting on the usual procedures in a criminal case for due process might take years.  </w:t>
      </w:r>
      <w:r>
        <w:rPr>
          <w:color w:val="171E22"/>
        </w:rPr>
        <w:t>“By then the victim could be dead, as a burglary charge, with overcrowded prisons would surely result in early release until trial.”</w:t>
      </w:r>
      <w:r>
        <w:rPr>
          <w:rStyle w:val="apple-converted-space"/>
          <w:color w:val="171E22"/>
        </w:rPr>
        <w:t> </w:t>
      </w:r>
      <w:r>
        <w:rPr>
          <w:i/>
          <w:iCs/>
          <w:color w:val="171E22"/>
        </w:rPr>
        <w:t xml:space="preserve">Com. v. </w:t>
      </w:r>
      <w:proofErr w:type="spellStart"/>
      <w:r>
        <w:rPr>
          <w:i/>
          <w:iCs/>
          <w:color w:val="171E22"/>
        </w:rPr>
        <w:t>Aikins</w:t>
      </w:r>
      <w:proofErr w:type="spellEnd"/>
      <w:r>
        <w:rPr>
          <w:color w:val="171E22"/>
        </w:rPr>
        <w:t>, 422 Pa. Super. 15, 20 (Pa. Super. Ct. 1993)</w:t>
      </w:r>
    </w:p>
    <w:p w:rsidR="001207A7" w:rsidRPr="001207A7" w:rsidRDefault="001207A7" w:rsidP="001207A7">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DF291A" w:rsidRPr="00DF291A" w:rsidRDefault="00DF291A" w:rsidP="0010547E">
      <w:pPr>
        <w:pStyle w:val="ListParagraph"/>
        <w:numPr>
          <w:ilvl w:val="0"/>
          <w:numId w:val="3"/>
        </w:numPr>
        <w:spacing w:after="0"/>
        <w:rPr>
          <w:rStyle w:val="apple-converted-space"/>
          <w:b/>
          <w:sz w:val="24"/>
          <w:szCs w:val="24"/>
        </w:rPr>
      </w:pPr>
      <w:r w:rsidRPr="00DF291A">
        <w:rPr>
          <w:b/>
          <w:i/>
          <w:sz w:val="24"/>
          <w:szCs w:val="24"/>
        </w:rPr>
        <w:t>Comm. v. Allen</w:t>
      </w:r>
      <w:r w:rsidRPr="00DF291A">
        <w:rPr>
          <w:b/>
          <w:sz w:val="24"/>
          <w:szCs w:val="24"/>
        </w:rPr>
        <w:t xml:space="preserve"> (PA 1985):</w:t>
      </w:r>
      <w:r w:rsidRPr="00DF291A">
        <w:rPr>
          <w:sz w:val="24"/>
          <w:szCs w:val="24"/>
        </w:rPr>
        <w:t xml:space="preserve">  </w:t>
      </w:r>
      <w:r w:rsidRPr="00DF291A">
        <w:rPr>
          <w:color w:val="171E22"/>
        </w:rPr>
        <w:t>“"prosecution on the substantive criminal charge after a finding of contempt in violating the injunction against abuse does not violate double jeopardy."”</w:t>
      </w:r>
      <w:r w:rsidRPr="00DF291A">
        <w:rPr>
          <w:rStyle w:val="apple-converted-space"/>
          <w:color w:val="171E22"/>
        </w:rPr>
        <w:t> </w:t>
      </w:r>
    </w:p>
    <w:p w:rsidR="0015215A" w:rsidRPr="001207A7" w:rsidRDefault="00DF291A" w:rsidP="0010547E">
      <w:pPr>
        <w:pStyle w:val="ListParagraph"/>
        <w:numPr>
          <w:ilvl w:val="0"/>
          <w:numId w:val="3"/>
        </w:numPr>
        <w:spacing w:after="0"/>
        <w:rPr>
          <w:b/>
          <w:sz w:val="24"/>
          <w:szCs w:val="24"/>
        </w:rPr>
      </w:pPr>
      <w:r>
        <w:rPr>
          <w:b/>
          <w:i/>
          <w:sz w:val="24"/>
          <w:szCs w:val="24"/>
        </w:rPr>
        <w:t>Grady v.</w:t>
      </w:r>
      <w:r>
        <w:rPr>
          <w:b/>
          <w:sz w:val="24"/>
          <w:szCs w:val="24"/>
        </w:rPr>
        <w:t xml:space="preserve"> </w:t>
      </w:r>
      <w:r>
        <w:rPr>
          <w:b/>
          <w:i/>
          <w:sz w:val="24"/>
          <w:szCs w:val="24"/>
        </w:rPr>
        <w:t>Corbin</w:t>
      </w:r>
      <w:r>
        <w:rPr>
          <w:b/>
          <w:sz w:val="24"/>
          <w:szCs w:val="24"/>
        </w:rPr>
        <w:t xml:space="preserve"> (US 1990):</w:t>
      </w:r>
      <w:r>
        <w:rPr>
          <w:sz w:val="24"/>
          <w:szCs w:val="24"/>
        </w:rPr>
        <w:t xml:space="preserve">  </w:t>
      </w:r>
      <w:r w:rsidR="0069622E">
        <w:rPr>
          <w:sz w:val="24"/>
          <w:szCs w:val="24"/>
        </w:rPr>
        <w:t xml:space="preserve">Double Jeopardy is about proving more than once the </w:t>
      </w:r>
      <w:r w:rsidR="0069622E" w:rsidRPr="0069622E">
        <w:rPr>
          <w:sz w:val="24"/>
          <w:szCs w:val="24"/>
          <w:u w:val="single"/>
        </w:rPr>
        <w:t>conduct</w:t>
      </w:r>
      <w:r w:rsidR="0069622E">
        <w:rPr>
          <w:sz w:val="24"/>
          <w:szCs w:val="24"/>
        </w:rPr>
        <w:t xml:space="preserve"> that constitutes offense; it is not in view if same </w:t>
      </w:r>
      <w:r w:rsidR="0069622E">
        <w:rPr>
          <w:sz w:val="24"/>
          <w:szCs w:val="24"/>
          <w:u w:val="single"/>
        </w:rPr>
        <w:t>evidence</w:t>
      </w:r>
      <w:r w:rsidR="0069622E">
        <w:rPr>
          <w:sz w:val="24"/>
          <w:szCs w:val="24"/>
        </w:rPr>
        <w:t xml:space="preserve"> is considered.  </w:t>
      </w:r>
    </w:p>
    <w:p w:rsidR="001207A7" w:rsidRPr="0069622E" w:rsidRDefault="001207A7" w:rsidP="0010547E">
      <w:pPr>
        <w:pStyle w:val="ListParagraph"/>
        <w:numPr>
          <w:ilvl w:val="0"/>
          <w:numId w:val="3"/>
        </w:numPr>
        <w:spacing w:after="0"/>
        <w:rPr>
          <w:b/>
          <w:sz w:val="24"/>
          <w:szCs w:val="24"/>
        </w:rPr>
      </w:pPr>
      <w:r>
        <w:rPr>
          <w:b/>
          <w:i/>
          <w:sz w:val="24"/>
          <w:szCs w:val="24"/>
        </w:rPr>
        <w:t>US v.</w:t>
      </w:r>
      <w:r>
        <w:rPr>
          <w:b/>
          <w:sz w:val="24"/>
          <w:szCs w:val="24"/>
        </w:rPr>
        <w:t xml:space="preserve"> </w:t>
      </w:r>
      <w:r>
        <w:rPr>
          <w:b/>
          <w:i/>
          <w:sz w:val="24"/>
          <w:szCs w:val="24"/>
        </w:rPr>
        <w:t>Felix</w:t>
      </w:r>
      <w:r>
        <w:rPr>
          <w:b/>
          <w:sz w:val="24"/>
          <w:szCs w:val="24"/>
        </w:rPr>
        <w:t xml:space="preserve"> (US 1992):</w:t>
      </w:r>
      <w:r>
        <w:rPr>
          <w:sz w:val="24"/>
          <w:szCs w:val="24"/>
        </w:rPr>
        <w:t xml:space="preserve"> Overlap in proof doesn’t constitute double jeopardy.</w:t>
      </w:r>
    </w:p>
    <w:p w:rsidR="0069622E" w:rsidRPr="001207A7" w:rsidRDefault="0069622E" w:rsidP="0010547E">
      <w:pPr>
        <w:pStyle w:val="ListParagraph"/>
        <w:numPr>
          <w:ilvl w:val="0"/>
          <w:numId w:val="3"/>
        </w:numPr>
        <w:spacing w:after="0"/>
        <w:rPr>
          <w:b/>
          <w:sz w:val="24"/>
          <w:szCs w:val="24"/>
        </w:rPr>
      </w:pPr>
      <w:r>
        <w:rPr>
          <w:b/>
          <w:i/>
          <w:sz w:val="24"/>
          <w:szCs w:val="24"/>
        </w:rPr>
        <w:t>Comm.</w:t>
      </w:r>
      <w:r>
        <w:rPr>
          <w:b/>
          <w:sz w:val="24"/>
          <w:szCs w:val="24"/>
        </w:rPr>
        <w:t xml:space="preserve"> </w:t>
      </w:r>
      <w:r>
        <w:rPr>
          <w:b/>
          <w:i/>
          <w:sz w:val="24"/>
          <w:szCs w:val="24"/>
        </w:rPr>
        <w:t>v. Warrick</w:t>
      </w:r>
      <w:r>
        <w:rPr>
          <w:b/>
          <w:sz w:val="24"/>
          <w:szCs w:val="24"/>
        </w:rPr>
        <w:t xml:space="preserve"> (PA 1985, 1992):</w:t>
      </w:r>
      <w:r>
        <w:rPr>
          <w:sz w:val="24"/>
          <w:szCs w:val="24"/>
        </w:rPr>
        <w:t xml:space="preserve"> Prisoner ran from courtroom to avoid incarceration.  Sentenced for direct criminal contempt and also for escape.  Not double jeopardy </w:t>
      </w:r>
      <w:r>
        <w:rPr>
          <w:sz w:val="24"/>
          <w:szCs w:val="24"/>
        </w:rPr>
        <w:lastRenderedPageBreak/>
        <w:t xml:space="preserve">because </w:t>
      </w:r>
      <w:r>
        <w:rPr>
          <w:color w:val="171E22"/>
        </w:rPr>
        <w:t>“a summary criminal contempt is by its nature a different type of offense than other crimes, e.g. escape”</w:t>
      </w:r>
      <w:r>
        <w:rPr>
          <w:rStyle w:val="apple-converted-space"/>
          <w:color w:val="171E22"/>
        </w:rPr>
        <w:t> </w:t>
      </w:r>
      <w:r>
        <w:rPr>
          <w:i/>
          <w:iCs/>
          <w:color w:val="171E22"/>
        </w:rPr>
        <w:t xml:space="preserve">Com. v. </w:t>
      </w:r>
      <w:proofErr w:type="spellStart"/>
      <w:r>
        <w:rPr>
          <w:i/>
          <w:iCs/>
          <w:color w:val="171E22"/>
        </w:rPr>
        <w:t>Aikins</w:t>
      </w:r>
      <w:proofErr w:type="spellEnd"/>
      <w:r>
        <w:rPr>
          <w:color w:val="171E22"/>
        </w:rPr>
        <w:t xml:space="preserve">, 422 Pa. Super. 15, 18 (Pa. Super. Ct. 1993). </w:t>
      </w:r>
    </w:p>
    <w:p w:rsidR="001207A7" w:rsidRPr="00F276F7" w:rsidRDefault="001207A7" w:rsidP="0010547E">
      <w:pPr>
        <w:pStyle w:val="ListParagraph"/>
        <w:numPr>
          <w:ilvl w:val="0"/>
          <w:numId w:val="3"/>
        </w:numPr>
        <w:spacing w:after="0"/>
        <w:rPr>
          <w:b/>
          <w:sz w:val="24"/>
          <w:szCs w:val="24"/>
        </w:rPr>
      </w:pPr>
      <w:r>
        <w:rPr>
          <w:b/>
          <w:i/>
          <w:sz w:val="24"/>
          <w:szCs w:val="24"/>
        </w:rPr>
        <w:t xml:space="preserve">Comm. v. </w:t>
      </w:r>
      <w:proofErr w:type="spellStart"/>
      <w:r>
        <w:rPr>
          <w:b/>
          <w:i/>
          <w:sz w:val="24"/>
          <w:szCs w:val="24"/>
        </w:rPr>
        <w:t>Manney</w:t>
      </w:r>
      <w:proofErr w:type="spellEnd"/>
      <w:r>
        <w:rPr>
          <w:b/>
          <w:i/>
          <w:sz w:val="24"/>
          <w:szCs w:val="24"/>
        </w:rPr>
        <w:t xml:space="preserve"> </w:t>
      </w:r>
      <w:r>
        <w:rPr>
          <w:b/>
          <w:sz w:val="24"/>
          <w:szCs w:val="24"/>
        </w:rPr>
        <w:t>(PA 1992):</w:t>
      </w:r>
      <w:r>
        <w:rPr>
          <w:sz w:val="24"/>
          <w:szCs w:val="24"/>
        </w:rPr>
        <w:t xml:space="preserve"> “a case with similar facts and the same resolution.”</w:t>
      </w:r>
    </w:p>
    <w:p w:rsidR="00F276F7" w:rsidRPr="00DC0C5D" w:rsidRDefault="00F276F7" w:rsidP="0010547E">
      <w:pPr>
        <w:pStyle w:val="ListParagraph"/>
        <w:numPr>
          <w:ilvl w:val="0"/>
          <w:numId w:val="3"/>
        </w:numPr>
        <w:spacing w:after="0"/>
        <w:rPr>
          <w:b/>
          <w:sz w:val="24"/>
          <w:szCs w:val="24"/>
        </w:rPr>
      </w:pPr>
      <w:r>
        <w:rPr>
          <w:b/>
          <w:i/>
          <w:sz w:val="24"/>
          <w:szCs w:val="24"/>
        </w:rPr>
        <w:t>US v.</w:t>
      </w:r>
      <w:r>
        <w:rPr>
          <w:b/>
          <w:sz w:val="24"/>
          <w:szCs w:val="24"/>
        </w:rPr>
        <w:t xml:space="preserve"> </w:t>
      </w:r>
      <w:proofErr w:type="spellStart"/>
      <w:r>
        <w:rPr>
          <w:b/>
          <w:i/>
          <w:sz w:val="24"/>
          <w:szCs w:val="24"/>
        </w:rPr>
        <w:t>Mirra</w:t>
      </w:r>
      <w:proofErr w:type="spellEnd"/>
      <w:r>
        <w:rPr>
          <w:b/>
          <w:sz w:val="24"/>
          <w:szCs w:val="24"/>
        </w:rPr>
        <w:t xml:space="preserve"> (US 1963):</w:t>
      </w:r>
      <w:r>
        <w:rPr>
          <w:sz w:val="24"/>
          <w:szCs w:val="24"/>
        </w:rPr>
        <w:t xml:space="preserve"> Defendant threw chair at Assistant US DA.  Direct contempt did not preclude contemporaneous charges for injuring an officer.  (Discussed especially in dissent)</w:t>
      </w:r>
    </w:p>
    <w:p w:rsidR="00DC0C5D" w:rsidRPr="00F276F7" w:rsidRDefault="00DC0C5D" w:rsidP="0010547E">
      <w:pPr>
        <w:pStyle w:val="ListParagraph"/>
        <w:numPr>
          <w:ilvl w:val="0"/>
          <w:numId w:val="3"/>
        </w:numPr>
        <w:spacing w:after="0"/>
        <w:rPr>
          <w:b/>
          <w:sz w:val="24"/>
          <w:szCs w:val="24"/>
        </w:rPr>
      </w:pPr>
      <w:proofErr w:type="spellStart"/>
      <w:r>
        <w:rPr>
          <w:b/>
          <w:i/>
          <w:sz w:val="24"/>
          <w:szCs w:val="24"/>
        </w:rPr>
        <w:t>Blockburger</w:t>
      </w:r>
      <w:proofErr w:type="spellEnd"/>
      <w:r>
        <w:rPr>
          <w:b/>
          <w:i/>
          <w:sz w:val="24"/>
          <w:szCs w:val="24"/>
        </w:rPr>
        <w:t xml:space="preserve"> v.</w:t>
      </w:r>
      <w:r>
        <w:rPr>
          <w:b/>
          <w:sz w:val="24"/>
          <w:szCs w:val="24"/>
        </w:rPr>
        <w:t xml:space="preserve"> </w:t>
      </w:r>
      <w:r>
        <w:rPr>
          <w:b/>
          <w:i/>
          <w:sz w:val="24"/>
          <w:szCs w:val="24"/>
        </w:rPr>
        <w:t>US</w:t>
      </w:r>
      <w:r>
        <w:rPr>
          <w:b/>
          <w:sz w:val="24"/>
          <w:szCs w:val="24"/>
        </w:rPr>
        <w:t xml:space="preserve"> (US 1932):</w:t>
      </w:r>
      <w:r>
        <w:rPr>
          <w:sz w:val="24"/>
          <w:szCs w:val="24"/>
        </w:rPr>
        <w:t xml:space="preserve"> (cited in dissent) </w:t>
      </w:r>
      <w:r>
        <w:rPr>
          <w:color w:val="171E22"/>
        </w:rPr>
        <w:t>“when the same act or transaction constitutes a violation of two distinct statutory provisions, the test to be applied to determine whether there are two offenses or only one for double jeopardy purposes is whether each provision requires proof of a fact which the other does not.</w:t>
      </w:r>
      <w:r>
        <w:rPr>
          <w:rStyle w:val="apple-converted-space"/>
          <w:color w:val="171E22"/>
        </w:rPr>
        <w:t> </w:t>
      </w:r>
      <w:r>
        <w:rPr>
          <w:color w:val="171E22"/>
        </w:rPr>
        <w:t>”</w:t>
      </w:r>
      <w:r>
        <w:rPr>
          <w:rStyle w:val="apple-converted-space"/>
          <w:color w:val="171E22"/>
        </w:rPr>
        <w:t> </w:t>
      </w:r>
      <w:r>
        <w:rPr>
          <w:i/>
          <w:iCs/>
          <w:color w:val="171E22"/>
        </w:rPr>
        <w:t xml:space="preserve">Com. v. </w:t>
      </w:r>
      <w:proofErr w:type="spellStart"/>
      <w:r>
        <w:rPr>
          <w:i/>
          <w:iCs/>
          <w:color w:val="171E22"/>
        </w:rPr>
        <w:t>Aikins</w:t>
      </w:r>
      <w:proofErr w:type="spellEnd"/>
      <w:r>
        <w:rPr>
          <w:color w:val="171E22"/>
        </w:rPr>
        <w:t>, 422 Pa. Super. 15, 24 (Pa. Super. Ct. 1993)</w:t>
      </w:r>
    </w:p>
    <w:p w:rsidR="00F276F7" w:rsidRPr="00E056A7" w:rsidRDefault="00F276F7" w:rsidP="0010547E">
      <w:pPr>
        <w:pStyle w:val="ListParagraph"/>
        <w:numPr>
          <w:ilvl w:val="0"/>
          <w:numId w:val="3"/>
        </w:numPr>
        <w:spacing w:after="0"/>
        <w:rPr>
          <w:b/>
          <w:sz w:val="24"/>
          <w:szCs w:val="24"/>
        </w:rPr>
      </w:pPr>
      <w:r>
        <w:rPr>
          <w:b/>
          <w:i/>
          <w:sz w:val="24"/>
          <w:szCs w:val="24"/>
        </w:rPr>
        <w:t xml:space="preserve">US v. </w:t>
      </w:r>
      <w:proofErr w:type="spellStart"/>
      <w:r>
        <w:rPr>
          <w:b/>
          <w:i/>
          <w:sz w:val="24"/>
          <w:szCs w:val="24"/>
        </w:rPr>
        <w:t>Rollerson</w:t>
      </w:r>
      <w:proofErr w:type="spellEnd"/>
      <w:r>
        <w:rPr>
          <w:b/>
          <w:i/>
          <w:sz w:val="24"/>
          <w:szCs w:val="24"/>
        </w:rPr>
        <w:t xml:space="preserve"> </w:t>
      </w:r>
      <w:r>
        <w:rPr>
          <w:b/>
          <w:sz w:val="24"/>
          <w:szCs w:val="24"/>
        </w:rPr>
        <w:t>(DC Circ. 1971):</w:t>
      </w:r>
      <w:r>
        <w:rPr>
          <w:sz w:val="24"/>
          <w:szCs w:val="24"/>
        </w:rPr>
        <w:t xml:space="preserve"> </w:t>
      </w:r>
      <w:r>
        <w:rPr>
          <w:color w:val="171E22"/>
        </w:rPr>
        <w:t>“a defendant who was summarily punished for direct contempt for throwing a water pitcher at the prosecutor could later be prosecuted for assault as a result of the same act.”</w:t>
      </w:r>
      <w:r>
        <w:rPr>
          <w:rStyle w:val="apple-converted-space"/>
          <w:color w:val="171E22"/>
        </w:rPr>
        <w:t> </w:t>
      </w:r>
      <w:r>
        <w:rPr>
          <w:i/>
          <w:iCs/>
          <w:color w:val="171E22"/>
        </w:rPr>
        <w:t xml:space="preserve">Com. v. </w:t>
      </w:r>
      <w:proofErr w:type="spellStart"/>
      <w:r>
        <w:rPr>
          <w:i/>
          <w:iCs/>
          <w:color w:val="171E22"/>
        </w:rPr>
        <w:t>Aikins</w:t>
      </w:r>
      <w:proofErr w:type="spellEnd"/>
      <w:r>
        <w:rPr>
          <w:color w:val="171E22"/>
        </w:rPr>
        <w:t>, 422 Pa. Super. 15, 31 (Pa. Super. Ct. 1993) (quoted from dissent)</w:t>
      </w:r>
    </w:p>
    <w:p w:rsidR="00E056A7" w:rsidRPr="0069622E" w:rsidRDefault="00E056A7" w:rsidP="0010547E">
      <w:pPr>
        <w:pStyle w:val="ListParagraph"/>
        <w:numPr>
          <w:ilvl w:val="0"/>
          <w:numId w:val="3"/>
        </w:numPr>
        <w:spacing w:after="0"/>
        <w:rPr>
          <w:b/>
          <w:sz w:val="24"/>
          <w:szCs w:val="24"/>
        </w:rPr>
      </w:pPr>
      <w:r>
        <w:rPr>
          <w:b/>
          <w:i/>
          <w:sz w:val="24"/>
          <w:szCs w:val="24"/>
        </w:rPr>
        <w:t>State v.</w:t>
      </w:r>
      <w:r>
        <w:rPr>
          <w:b/>
          <w:sz w:val="24"/>
          <w:szCs w:val="24"/>
        </w:rPr>
        <w:t xml:space="preserve"> </w:t>
      </w:r>
      <w:proofErr w:type="spellStart"/>
      <w:r>
        <w:rPr>
          <w:b/>
          <w:i/>
          <w:sz w:val="24"/>
          <w:szCs w:val="24"/>
        </w:rPr>
        <w:t>Kipi</w:t>
      </w:r>
      <w:proofErr w:type="spellEnd"/>
      <w:r>
        <w:rPr>
          <w:b/>
          <w:sz w:val="24"/>
          <w:szCs w:val="24"/>
        </w:rPr>
        <w:t xml:space="preserve"> (HI 1991):</w:t>
      </w:r>
      <w:r>
        <w:rPr>
          <w:sz w:val="24"/>
          <w:szCs w:val="24"/>
        </w:rPr>
        <w:t xml:space="preserve"> (cited in dissent) </w:t>
      </w:r>
      <w:proofErr w:type="gramStart"/>
      <w:r>
        <w:rPr>
          <w:sz w:val="24"/>
          <w:szCs w:val="24"/>
        </w:rPr>
        <w:t>Couldn’t</w:t>
      </w:r>
      <w:proofErr w:type="gramEnd"/>
      <w:r>
        <w:rPr>
          <w:sz w:val="24"/>
          <w:szCs w:val="24"/>
        </w:rPr>
        <w:t xml:space="preserve"> be prosecuted for both ICC of protection order and trespass/terroristic threats – ought to have different facts to prove the criminal charges.</w:t>
      </w:r>
    </w:p>
    <w:p w:rsidR="0069622E" w:rsidRDefault="0069622E" w:rsidP="0069622E">
      <w:pPr>
        <w:pStyle w:val="ListParagraph"/>
        <w:spacing w:after="0"/>
        <w:rPr>
          <w:b/>
          <w:sz w:val="24"/>
          <w:szCs w:val="24"/>
        </w:rPr>
      </w:pPr>
    </w:p>
    <w:p w:rsidR="0015215A" w:rsidRDefault="0015215A" w:rsidP="0010547E">
      <w:pPr>
        <w:spacing w:after="0"/>
        <w:rPr>
          <w:b/>
          <w:sz w:val="24"/>
          <w:szCs w:val="24"/>
        </w:rPr>
      </w:pPr>
      <w:r>
        <w:rPr>
          <w:b/>
          <w:sz w:val="24"/>
          <w:szCs w:val="24"/>
        </w:rPr>
        <w:t>Commentary:</w:t>
      </w:r>
    </w:p>
    <w:p w:rsidR="0069622E" w:rsidRDefault="0069622E" w:rsidP="0069622E">
      <w:pPr>
        <w:pStyle w:val="ListParagraph"/>
        <w:numPr>
          <w:ilvl w:val="0"/>
          <w:numId w:val="3"/>
        </w:numPr>
        <w:spacing w:after="0"/>
        <w:rPr>
          <w:sz w:val="24"/>
          <w:szCs w:val="24"/>
        </w:rPr>
      </w:pPr>
      <w:r>
        <w:rPr>
          <w:sz w:val="24"/>
          <w:szCs w:val="24"/>
          <w:u w:val="single"/>
        </w:rPr>
        <w:t>Test for Civil contempt:</w:t>
      </w:r>
      <w:r>
        <w:rPr>
          <w:sz w:val="24"/>
          <w:szCs w:val="24"/>
        </w:rPr>
        <w:t xml:space="preserve"> can person escape imprisonment by doing some act of compliance to purge the contempt?</w:t>
      </w:r>
    </w:p>
    <w:p w:rsidR="0069622E" w:rsidRDefault="0069622E" w:rsidP="0069622E">
      <w:pPr>
        <w:pStyle w:val="ListParagraph"/>
        <w:numPr>
          <w:ilvl w:val="0"/>
          <w:numId w:val="3"/>
        </w:numPr>
        <w:spacing w:after="0"/>
        <w:rPr>
          <w:sz w:val="24"/>
          <w:szCs w:val="24"/>
        </w:rPr>
      </w:pPr>
      <w:r>
        <w:rPr>
          <w:sz w:val="24"/>
          <w:szCs w:val="24"/>
          <w:u w:val="single"/>
        </w:rPr>
        <w:t>Test for Criminal contempt:</w:t>
      </w:r>
      <w:r>
        <w:rPr>
          <w:sz w:val="24"/>
          <w:szCs w:val="24"/>
        </w:rPr>
        <w:t xml:space="preserve"> must a person be sentenced to punish the wrongdoing without redemption?</w:t>
      </w:r>
    </w:p>
    <w:p w:rsidR="0069622E" w:rsidRPr="0069622E" w:rsidRDefault="001207A7" w:rsidP="0069622E">
      <w:pPr>
        <w:pStyle w:val="blockquote"/>
        <w:numPr>
          <w:ilvl w:val="0"/>
          <w:numId w:val="3"/>
        </w:numPr>
        <w:spacing w:before="0" w:beforeAutospacing="0" w:after="150" w:afterAutospacing="0"/>
        <w:rPr>
          <w:color w:val="171E22"/>
        </w:rPr>
      </w:pPr>
      <w:r>
        <w:rPr>
          <w:i/>
          <w:iCs/>
          <w:color w:val="171E22"/>
        </w:rPr>
        <w:t>“</w:t>
      </w:r>
      <w:r w:rsidR="0069622E">
        <w:rPr>
          <w:i/>
          <w:iCs/>
          <w:color w:val="171E22"/>
        </w:rPr>
        <w:t>Allen</w:t>
      </w:r>
      <w:r w:rsidR="0069622E">
        <w:rPr>
          <w:rStyle w:val="apple-converted-space"/>
          <w:color w:val="171E22"/>
        </w:rPr>
        <w:t> </w:t>
      </w:r>
      <w:r w:rsidR="0069622E">
        <w:rPr>
          <w:color w:val="171E22"/>
        </w:rPr>
        <w:t>rested on the fact that criminal contempt consists of acts tending to lessen the dignity or impede the process of the court, thus criminal contempt proceedings are instituted to vindicate the authority of the court and must be viewed as a necessary tool for deterring abuse of the judiciary.</w:t>
      </w:r>
      <w:r>
        <w:rPr>
          <w:color w:val="171E22"/>
        </w:rPr>
        <w:t>”</w:t>
      </w:r>
      <w:r w:rsidR="0069622E">
        <w:rPr>
          <w:color w:val="171E22"/>
        </w:rPr>
        <w:t xml:space="preserve"> </w:t>
      </w:r>
      <w:r w:rsidR="0069622E" w:rsidRPr="0069622E">
        <w:rPr>
          <w:i/>
          <w:iCs/>
          <w:color w:val="171E22"/>
        </w:rPr>
        <w:t xml:space="preserve">Com. v. </w:t>
      </w:r>
      <w:proofErr w:type="spellStart"/>
      <w:r w:rsidR="0069622E" w:rsidRPr="0069622E">
        <w:rPr>
          <w:i/>
          <w:iCs/>
          <w:color w:val="171E22"/>
        </w:rPr>
        <w:t>Aikins</w:t>
      </w:r>
      <w:proofErr w:type="spellEnd"/>
      <w:r w:rsidR="0069622E" w:rsidRPr="0069622E">
        <w:rPr>
          <w:color w:val="171E22"/>
        </w:rPr>
        <w:t xml:space="preserve">, 422 Pa. Super. </w:t>
      </w:r>
      <w:proofErr w:type="gramStart"/>
      <w:r w:rsidR="0069622E" w:rsidRPr="0069622E">
        <w:rPr>
          <w:color w:val="171E22"/>
        </w:rPr>
        <w:t>15, 18 (Pa. Super.</w:t>
      </w:r>
      <w:proofErr w:type="gramEnd"/>
      <w:r w:rsidR="0069622E" w:rsidRPr="0069622E">
        <w:rPr>
          <w:color w:val="171E22"/>
        </w:rPr>
        <w:t xml:space="preserve"> Ct. 1993)</w:t>
      </w:r>
    </w:p>
    <w:p w:rsidR="0069622E" w:rsidRDefault="0069622E" w:rsidP="00DC0C5D">
      <w:pPr>
        <w:spacing w:after="0"/>
        <w:rPr>
          <w:sz w:val="24"/>
          <w:szCs w:val="24"/>
        </w:rPr>
      </w:pPr>
    </w:p>
    <w:p w:rsidR="00DC0C5D" w:rsidRDefault="00DC0C5D" w:rsidP="00DC0C5D">
      <w:pPr>
        <w:spacing w:after="0"/>
        <w:rPr>
          <w:sz w:val="24"/>
          <w:szCs w:val="24"/>
        </w:rPr>
      </w:pPr>
      <w:r>
        <w:rPr>
          <w:b/>
          <w:sz w:val="24"/>
          <w:szCs w:val="24"/>
        </w:rPr>
        <w:t>Concurring / Dissenting Opinion:</w:t>
      </w:r>
      <w:r>
        <w:rPr>
          <w:sz w:val="24"/>
          <w:szCs w:val="24"/>
        </w:rPr>
        <w:t xml:space="preserve"> </w:t>
      </w:r>
    </w:p>
    <w:p w:rsidR="00DC0C5D" w:rsidRDefault="00DC0C5D" w:rsidP="00DC0C5D">
      <w:pPr>
        <w:spacing w:after="0"/>
        <w:rPr>
          <w:sz w:val="24"/>
          <w:szCs w:val="24"/>
        </w:rPr>
      </w:pPr>
      <w:r>
        <w:rPr>
          <w:sz w:val="24"/>
          <w:szCs w:val="24"/>
        </w:rPr>
        <w:t>Judge Beck, dissenting:</w:t>
      </w:r>
    </w:p>
    <w:p w:rsidR="00DC0C5D" w:rsidRDefault="00DC0C5D" w:rsidP="00DC0C5D">
      <w:pPr>
        <w:pStyle w:val="blockquote"/>
        <w:spacing w:before="0" w:beforeAutospacing="0" w:after="150" w:afterAutospacing="0"/>
        <w:ind w:left="960"/>
        <w:rPr>
          <w:color w:val="171E22"/>
        </w:rPr>
      </w:pPr>
      <w:r>
        <w:rPr>
          <w:color w:val="171E22"/>
        </w:rPr>
        <w:t>“Based on the recent United States Supreme Court pronouncement in</w:t>
      </w:r>
      <w:r>
        <w:rPr>
          <w:rStyle w:val="apple-converted-space"/>
          <w:color w:val="171E22"/>
        </w:rPr>
        <w:t> </w:t>
      </w:r>
      <w:r>
        <w:rPr>
          <w:i/>
          <w:iCs/>
          <w:color w:val="171E22"/>
        </w:rPr>
        <w:t xml:space="preserve">Grady v. </w:t>
      </w:r>
      <w:proofErr w:type="gramStart"/>
      <w:r>
        <w:rPr>
          <w:i/>
          <w:iCs/>
          <w:color w:val="171E22"/>
        </w:rPr>
        <w:t>Corbin,</w:t>
      </w:r>
      <w:r>
        <w:rPr>
          <w:rStyle w:val="apple-converted-space"/>
          <w:color w:val="171E22"/>
        </w:rPr>
        <w:t> . . .</w:t>
      </w:r>
      <w:proofErr w:type="gramEnd"/>
      <w:r>
        <w:rPr>
          <w:color w:val="171E22"/>
        </w:rPr>
        <w:t xml:space="preserve"> which I find to be dispositive, I conclude that the subsequent criminal conviction was barred on double jeopardy grounds. Therefore, I would reverse the judgments of sentence and discharge appellant.” </w:t>
      </w:r>
      <w:proofErr w:type="gramStart"/>
      <w:r>
        <w:rPr>
          <w:i/>
          <w:iCs/>
          <w:color w:val="171E22"/>
        </w:rPr>
        <w:t xml:space="preserve">Com. v. </w:t>
      </w:r>
      <w:proofErr w:type="spellStart"/>
      <w:r>
        <w:rPr>
          <w:i/>
          <w:iCs/>
          <w:color w:val="171E22"/>
        </w:rPr>
        <w:t>Aikins</w:t>
      </w:r>
      <w:proofErr w:type="spellEnd"/>
      <w:r>
        <w:rPr>
          <w:color w:val="171E22"/>
        </w:rPr>
        <w:t>, 422 Pa. Super.</w:t>
      </w:r>
      <w:proofErr w:type="gramEnd"/>
      <w:r>
        <w:rPr>
          <w:color w:val="171E22"/>
        </w:rPr>
        <w:t xml:space="preserve"> </w:t>
      </w:r>
      <w:proofErr w:type="gramStart"/>
      <w:r>
        <w:rPr>
          <w:color w:val="171E22"/>
        </w:rPr>
        <w:t>15, 21 (Pa. Super.</w:t>
      </w:r>
      <w:proofErr w:type="gramEnd"/>
      <w:r>
        <w:rPr>
          <w:color w:val="171E22"/>
        </w:rPr>
        <w:t xml:space="preserve"> Ct. 1993)</w:t>
      </w:r>
    </w:p>
    <w:p w:rsidR="00DC0C5D" w:rsidRPr="00F779EA" w:rsidRDefault="00DC0C5D" w:rsidP="00DC0C5D">
      <w:pPr>
        <w:pStyle w:val="ListParagraph"/>
        <w:numPr>
          <w:ilvl w:val="0"/>
          <w:numId w:val="3"/>
        </w:numPr>
        <w:spacing w:after="0"/>
        <w:rPr>
          <w:sz w:val="24"/>
          <w:szCs w:val="24"/>
        </w:rPr>
      </w:pPr>
      <w:r>
        <w:rPr>
          <w:color w:val="171E22"/>
        </w:rPr>
        <w:t>“It is clear, therefore, that after</w:t>
      </w:r>
      <w:r>
        <w:rPr>
          <w:rStyle w:val="apple-converted-space"/>
          <w:color w:val="171E22"/>
        </w:rPr>
        <w:t> </w:t>
      </w:r>
      <w:r>
        <w:rPr>
          <w:i/>
          <w:iCs/>
          <w:color w:val="171E22"/>
        </w:rPr>
        <w:t>Grady v. Corbin</w:t>
      </w:r>
      <w:r>
        <w:rPr>
          <w:rStyle w:val="apple-converted-space"/>
          <w:color w:val="171E22"/>
        </w:rPr>
        <w:t> </w:t>
      </w:r>
      <w:r>
        <w:rPr>
          <w:color w:val="171E22"/>
        </w:rPr>
        <w:t>a new "constitutional mandate" regarding double jeopardy protection is applicable.”</w:t>
      </w:r>
      <w:r>
        <w:rPr>
          <w:rStyle w:val="apple-converted-space"/>
          <w:color w:val="171E22"/>
        </w:rPr>
        <w:t> </w:t>
      </w:r>
      <w:r>
        <w:rPr>
          <w:i/>
          <w:iCs/>
          <w:color w:val="171E22"/>
        </w:rPr>
        <w:t xml:space="preserve">Com. v. </w:t>
      </w:r>
      <w:proofErr w:type="spellStart"/>
      <w:r>
        <w:rPr>
          <w:i/>
          <w:iCs/>
          <w:color w:val="171E22"/>
        </w:rPr>
        <w:t>Aikins</w:t>
      </w:r>
      <w:proofErr w:type="spellEnd"/>
      <w:r>
        <w:rPr>
          <w:color w:val="171E22"/>
        </w:rPr>
        <w:t>, 422 Pa. Super. 15, 26 (Pa. Super. Ct. 1993)</w:t>
      </w:r>
    </w:p>
    <w:p w:rsidR="00F779EA" w:rsidRPr="00F779EA" w:rsidRDefault="00F779EA" w:rsidP="00DC0C5D">
      <w:pPr>
        <w:pStyle w:val="ListParagraph"/>
        <w:numPr>
          <w:ilvl w:val="0"/>
          <w:numId w:val="3"/>
        </w:numPr>
        <w:spacing w:after="0"/>
        <w:rPr>
          <w:sz w:val="24"/>
          <w:szCs w:val="24"/>
        </w:rPr>
      </w:pPr>
      <w:r>
        <w:rPr>
          <w:color w:val="171E22"/>
        </w:rPr>
        <w:t>Judge Beck doesn’t believe that there is any difference between INDIRECT criminal contempt and criminal charges.</w:t>
      </w:r>
    </w:p>
    <w:p w:rsidR="00F779EA" w:rsidRPr="00F779EA" w:rsidRDefault="00F779EA" w:rsidP="00DC0C5D">
      <w:pPr>
        <w:pStyle w:val="ListParagraph"/>
        <w:numPr>
          <w:ilvl w:val="0"/>
          <w:numId w:val="3"/>
        </w:numPr>
        <w:spacing w:after="0"/>
        <w:rPr>
          <w:sz w:val="24"/>
          <w:szCs w:val="24"/>
        </w:rPr>
      </w:pPr>
      <w:r>
        <w:rPr>
          <w:color w:val="171E22"/>
        </w:rPr>
        <w:lastRenderedPageBreak/>
        <w:t>Direct Criminal Contempt is meant to protect dignity of the courtroom, which places it outside the double jeopardy context when there are also other criminal charges.</w:t>
      </w:r>
    </w:p>
    <w:p w:rsidR="00F779EA" w:rsidRPr="00F779EA" w:rsidRDefault="00F779EA" w:rsidP="00F779EA">
      <w:pPr>
        <w:pStyle w:val="blockquote"/>
        <w:numPr>
          <w:ilvl w:val="0"/>
          <w:numId w:val="3"/>
        </w:numPr>
        <w:spacing w:before="0" w:beforeAutospacing="0" w:after="150" w:afterAutospacing="0"/>
        <w:rPr>
          <w:color w:val="171E22"/>
        </w:rPr>
      </w:pPr>
      <w:r w:rsidRPr="00F779EA">
        <w:rPr>
          <w:color w:val="171E22"/>
        </w:rPr>
        <w:t xml:space="preserve">“Thus, in cases of direct criminal contempt, because the court is personally possessed of all the facts necessary to conclude that </w:t>
      </w:r>
      <w:proofErr w:type="gramStart"/>
      <w:r w:rsidRPr="00F779EA">
        <w:rPr>
          <w:color w:val="171E22"/>
        </w:rPr>
        <w:t>a contempt</w:t>
      </w:r>
      <w:proofErr w:type="gramEnd"/>
      <w:r w:rsidRPr="00F779EA">
        <w:rPr>
          <w:color w:val="171E22"/>
        </w:rPr>
        <w:t xml:space="preserve"> has occurred in its presence, the court can impose summary punishment. No notice is given, no charges are filed and no trial is held. As I noted above, indirect criminal contempt proceedings are accompanied by the same procedural safeguards normally applicable to criminal trials and are adversarial in nature. Therein </w:t>
      </w:r>
      <w:proofErr w:type="gramStart"/>
      <w:r w:rsidRPr="00F779EA">
        <w:rPr>
          <w:color w:val="171E22"/>
        </w:rPr>
        <w:t>lies</w:t>
      </w:r>
      <w:proofErr w:type="gramEnd"/>
      <w:r w:rsidRPr="00F779EA">
        <w:rPr>
          <w:color w:val="171E22"/>
        </w:rPr>
        <w:t xml:space="preserve"> the critical distinction for fulfilling the purposes of the double jeopardy clause.”</w:t>
      </w:r>
      <w:r>
        <w:rPr>
          <w:color w:val="171E22"/>
        </w:rPr>
        <w:t xml:space="preserve"> </w:t>
      </w:r>
      <w:r w:rsidRPr="00F779EA">
        <w:rPr>
          <w:i/>
          <w:iCs/>
          <w:color w:val="171E22"/>
        </w:rPr>
        <w:t xml:space="preserve">Com. v. </w:t>
      </w:r>
      <w:proofErr w:type="spellStart"/>
      <w:r w:rsidRPr="00F779EA">
        <w:rPr>
          <w:i/>
          <w:iCs/>
          <w:color w:val="171E22"/>
        </w:rPr>
        <w:t>Aikins</w:t>
      </w:r>
      <w:proofErr w:type="spellEnd"/>
      <w:r w:rsidRPr="00F779EA">
        <w:rPr>
          <w:color w:val="171E22"/>
        </w:rPr>
        <w:t>, 422 Pa. Super. 15, 29 (Pa. Super. Ct. 1993)</w:t>
      </w:r>
    </w:p>
    <w:p w:rsidR="00F779EA" w:rsidRDefault="00F779EA" w:rsidP="00DC0C5D">
      <w:pPr>
        <w:pStyle w:val="ListParagraph"/>
        <w:numPr>
          <w:ilvl w:val="0"/>
          <w:numId w:val="3"/>
        </w:numPr>
        <w:spacing w:after="0"/>
        <w:rPr>
          <w:sz w:val="24"/>
          <w:szCs w:val="24"/>
        </w:rPr>
      </w:pPr>
      <w:r>
        <w:rPr>
          <w:sz w:val="24"/>
          <w:szCs w:val="24"/>
        </w:rPr>
        <w:t>IOW, judges have to be able to clamp down on DIRECT contempt actions, because if they are worried this might preclude a criminal charge because of Double Jeopardy they won’t be able to control the courtroom environment.</w:t>
      </w:r>
    </w:p>
    <w:p w:rsidR="00F779EA" w:rsidRPr="00F276F7" w:rsidRDefault="00F779EA" w:rsidP="00DC0C5D">
      <w:pPr>
        <w:pStyle w:val="ListParagraph"/>
        <w:numPr>
          <w:ilvl w:val="0"/>
          <w:numId w:val="3"/>
        </w:numPr>
        <w:spacing w:after="0"/>
        <w:rPr>
          <w:rStyle w:val="apple-converted-space"/>
          <w:sz w:val="24"/>
          <w:szCs w:val="24"/>
        </w:rPr>
      </w:pPr>
      <w:r>
        <w:rPr>
          <w:sz w:val="24"/>
          <w:szCs w:val="24"/>
        </w:rPr>
        <w:t>Not a Double Jeopardy issue also because w/ DIRECT contempt, successive trials are not involved:  all the evidence is there in the courtroom, and the judge just has to impose sentence.  INDIRECT contempt requires a hearing.</w:t>
      </w:r>
      <w:r w:rsidR="00F276F7">
        <w:rPr>
          <w:sz w:val="24"/>
          <w:szCs w:val="24"/>
        </w:rPr>
        <w:t xml:space="preserve"> (</w:t>
      </w:r>
      <w:r w:rsidR="00F276F7">
        <w:rPr>
          <w:color w:val="171E22"/>
        </w:rPr>
        <w:t>“</w:t>
      </w:r>
      <w:proofErr w:type="gramStart"/>
      <w:r w:rsidR="00F276F7">
        <w:rPr>
          <w:color w:val="171E22"/>
        </w:rPr>
        <w:t>the</w:t>
      </w:r>
      <w:proofErr w:type="gramEnd"/>
      <w:r w:rsidR="00F276F7">
        <w:rPr>
          <w:color w:val="171E22"/>
        </w:rPr>
        <w:t xml:space="preserve"> effective remedy against a contempt committed in the court's presence is for the court immediately and summarily to punish the contumacious conduct.” Quoting </w:t>
      </w:r>
      <w:proofErr w:type="spellStart"/>
      <w:r w:rsidR="00F276F7" w:rsidRPr="00F276F7">
        <w:rPr>
          <w:i/>
          <w:color w:val="171E22"/>
        </w:rPr>
        <w:t>Mirra</w:t>
      </w:r>
      <w:proofErr w:type="spellEnd"/>
      <w:r w:rsidR="00F276F7">
        <w:rPr>
          <w:rStyle w:val="apple-converted-space"/>
          <w:color w:val="171E22"/>
        </w:rPr>
        <w:t>)</w:t>
      </w:r>
    </w:p>
    <w:p w:rsidR="00F276F7" w:rsidRPr="00F779EA" w:rsidRDefault="00F276F7" w:rsidP="00DC0C5D">
      <w:pPr>
        <w:pStyle w:val="ListParagraph"/>
        <w:numPr>
          <w:ilvl w:val="0"/>
          <w:numId w:val="3"/>
        </w:numPr>
        <w:spacing w:after="0"/>
        <w:rPr>
          <w:sz w:val="24"/>
          <w:szCs w:val="24"/>
        </w:rPr>
      </w:pPr>
      <w:r>
        <w:rPr>
          <w:rStyle w:val="apple-converted-space"/>
          <w:color w:val="171E22"/>
        </w:rPr>
        <w:t>Judge Beck’s bottom line:  don’t violate constitutional rights re. Double Jeopardy.</w:t>
      </w:r>
    </w:p>
    <w:sectPr w:rsidR="00F276F7" w:rsidRPr="00F779EA" w:rsidSect="008E58DB">
      <w:headerReference w:type="default" r:id="rId7"/>
      <w:pgSz w:w="12240" w:h="15840"/>
      <w:pgMar w:top="864" w:right="1296" w:bottom="864"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3B10" w:rsidRDefault="00B73B10" w:rsidP="00E16E68">
      <w:pPr>
        <w:spacing w:after="0" w:line="240" w:lineRule="auto"/>
      </w:pPr>
      <w:r>
        <w:separator/>
      </w:r>
    </w:p>
  </w:endnote>
  <w:endnote w:type="continuationSeparator" w:id="0">
    <w:p w:rsidR="00B73B10" w:rsidRDefault="00B73B10"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3B10" w:rsidRDefault="00B73B10" w:rsidP="00E16E68">
      <w:pPr>
        <w:spacing w:after="0" w:line="240" w:lineRule="auto"/>
      </w:pPr>
      <w:r>
        <w:separator/>
      </w:r>
    </w:p>
  </w:footnote>
  <w:footnote w:type="continuationSeparator" w:id="0">
    <w:p w:rsidR="00B73B10" w:rsidRDefault="00B73B10"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08698F" w:rsidP="000933B7">
    <w:pPr>
      <w:pStyle w:val="Header"/>
      <w:jc w:val="right"/>
    </w:pPr>
    <w:sdt>
      <w:sdtPr>
        <w:id w:val="521788688"/>
        <w:docPartObj>
          <w:docPartGallery w:val="Page Numbers (Margins)"/>
          <w:docPartUnique/>
        </w:docPartObj>
      </w:sdtPr>
      <w:sdtContent>
        <w:r>
          <w:rPr>
            <w:noProof/>
            <w:lang w:eastAsia="zh-TW"/>
          </w:rPr>
          <w:pict>
            <v:rect id="_x0000_s7169" style="position:absolute;left:0;text-align:left;margin-left:0;margin-top:0;width:40.9pt;height:171.9pt;z-index:251660288;mso-position-horizontal:center;mso-position-horizontal-relative:right-margin-area;mso-position-vertical:bottom;mso-position-vertical-relative:margin;v-text-anchor:middle" o:allowincell="f" filled="f" stroked="f">
              <v:textbox style="layout-flow:vertical;mso-layout-flow-alt:bottom-to-top;mso-next-textbox:#_x0000_s7169;mso-fit-shape-to-text:t">
                <w:txbxContent>
                  <w:p w:rsidR="0008698F" w:rsidRDefault="0008698F">
                    <w:pPr>
                      <w:pStyle w:val="Footer"/>
                      <w:rPr>
                        <w:rFonts w:asciiTheme="majorHAnsi" w:hAnsiTheme="majorHAnsi"/>
                        <w:sz w:val="44"/>
                        <w:szCs w:val="44"/>
                      </w:rPr>
                    </w:pPr>
                    <w:r>
                      <w:rPr>
                        <w:rFonts w:asciiTheme="majorHAnsi" w:hAnsiTheme="majorHAnsi"/>
                      </w:rPr>
                      <w:t>Page</w:t>
                    </w:r>
                    <w:fldSimple w:instr=" PAGE    \* MERGEFORMAT ">
                      <w:r w:rsidR="008E58DB" w:rsidRPr="008E58DB">
                        <w:rPr>
                          <w:rFonts w:asciiTheme="majorHAnsi" w:hAnsiTheme="majorHAnsi"/>
                          <w:noProof/>
                          <w:sz w:val="44"/>
                          <w:szCs w:val="44"/>
                        </w:rPr>
                        <w:t>1</w:t>
                      </w:r>
                    </w:fldSimple>
                    <w:r>
                      <w:t xml:space="preserve"> Comm. v. </w:t>
                    </w:r>
                    <w:proofErr w:type="spellStart"/>
                    <w:r>
                      <w:t>Aikins</w:t>
                    </w:r>
                    <w:proofErr w:type="spellEnd"/>
                  </w:p>
                </w:txbxContent>
              </v:textbox>
              <w10:wrap anchorx="page" anchory="margin"/>
            </v:rect>
          </w:pict>
        </w:r>
      </w:sdtContent>
    </w:sdt>
    <w:r w:rsidR="0016476D">
      <w:t>PA Superior Court</w:t>
    </w:r>
    <w:r w:rsidR="00E16E68">
      <w:tab/>
    </w:r>
    <w:r w:rsidR="00DF291A">
      <w:t>1993</w:t>
    </w:r>
    <w:r w:rsidR="00E16E68">
      <w:tab/>
    </w:r>
    <w:r w:rsidR="00DF291A">
      <w:t xml:space="preserve">Comm. v. </w:t>
    </w:r>
    <w:proofErr w:type="spellStart"/>
    <w:r w:rsidR="00DF291A">
      <w:t>Aikins</w:t>
    </w:r>
    <w:proofErr w:type="spellEnd"/>
  </w:p>
  <w:p w:rsidR="00F95A0E" w:rsidRDefault="00F95A0E" w:rsidP="00F95A0E">
    <w:pPr>
      <w:pStyle w:val="Header"/>
      <w:jc w:val="right"/>
    </w:pPr>
    <w:r>
      <w:tab/>
    </w:r>
    <w:r>
      <w:tab/>
    </w:r>
    <w:r w:rsidR="001207A7">
      <w:t>DOUBLE JEOPARDY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CAE1A90"/>
    <w:multiLevelType w:val="hybridMultilevel"/>
    <w:tmpl w:val="C9A078E6"/>
    <w:lvl w:ilvl="0" w:tplc="F44A776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01C467D"/>
    <w:multiLevelType w:val="hybridMultilevel"/>
    <w:tmpl w:val="E116B168"/>
    <w:lvl w:ilvl="0" w:tplc="77927FD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8194"/>
    <o:shapelayout v:ext="edit">
      <o:idmap v:ext="edit" data="7"/>
    </o:shapelayout>
  </w:hdrShapeDefaults>
  <w:footnotePr>
    <w:footnote w:id="-1"/>
    <w:footnote w:id="0"/>
  </w:footnotePr>
  <w:endnotePr>
    <w:endnote w:id="-1"/>
    <w:endnote w:id="0"/>
  </w:endnotePr>
  <w:compat/>
  <w:rsids>
    <w:rsidRoot w:val="00E16E68"/>
    <w:rsid w:val="0008698F"/>
    <w:rsid w:val="000933B7"/>
    <w:rsid w:val="0010547E"/>
    <w:rsid w:val="001207A7"/>
    <w:rsid w:val="00144D3B"/>
    <w:rsid w:val="0015215A"/>
    <w:rsid w:val="0016476D"/>
    <w:rsid w:val="005F2C53"/>
    <w:rsid w:val="00692188"/>
    <w:rsid w:val="0069622E"/>
    <w:rsid w:val="006A18CC"/>
    <w:rsid w:val="007B337C"/>
    <w:rsid w:val="008E58DB"/>
    <w:rsid w:val="009645CA"/>
    <w:rsid w:val="00A20DAD"/>
    <w:rsid w:val="00A41926"/>
    <w:rsid w:val="00A56A0E"/>
    <w:rsid w:val="00AA40E8"/>
    <w:rsid w:val="00B73B10"/>
    <w:rsid w:val="00C5621B"/>
    <w:rsid w:val="00CB01EC"/>
    <w:rsid w:val="00DC0C5D"/>
    <w:rsid w:val="00DF291A"/>
    <w:rsid w:val="00E056A7"/>
    <w:rsid w:val="00E16E68"/>
    <w:rsid w:val="00F276F7"/>
    <w:rsid w:val="00F779EA"/>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DF291A"/>
  </w:style>
  <w:style w:type="paragraph" w:customStyle="1" w:styleId="blockquote">
    <w:name w:val="blockquote"/>
    <w:basedOn w:val="Normal"/>
    <w:rsid w:val="0069622E"/>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69622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C0C5D"/>
    <w:rPr>
      <w:color w:val="0000FF"/>
      <w:u w:val="single"/>
    </w:rPr>
  </w:style>
</w:styles>
</file>

<file path=word/webSettings.xml><?xml version="1.0" encoding="utf-8"?>
<w:webSettings xmlns:r="http://schemas.openxmlformats.org/officeDocument/2006/relationships" xmlns:w="http://schemas.openxmlformats.org/wordprocessingml/2006/main">
  <w:divs>
    <w:div w:id="1776824663">
      <w:bodyDiv w:val="1"/>
      <w:marLeft w:val="0"/>
      <w:marRight w:val="0"/>
      <w:marTop w:val="0"/>
      <w:marBottom w:val="0"/>
      <w:divBdr>
        <w:top w:val="none" w:sz="0" w:space="0" w:color="auto"/>
        <w:left w:val="none" w:sz="0" w:space="0" w:color="auto"/>
        <w:bottom w:val="none" w:sz="0" w:space="0" w:color="auto"/>
        <w:right w:val="none" w:sz="0" w:space="0" w:color="auto"/>
      </w:divBdr>
    </w:div>
    <w:div w:id="2061783614">
      <w:bodyDiv w:val="1"/>
      <w:marLeft w:val="0"/>
      <w:marRight w:val="0"/>
      <w:marTop w:val="0"/>
      <w:marBottom w:val="0"/>
      <w:divBdr>
        <w:top w:val="none" w:sz="0" w:space="0" w:color="auto"/>
        <w:left w:val="none" w:sz="0" w:space="0" w:color="auto"/>
        <w:bottom w:val="none" w:sz="0" w:space="0" w:color="auto"/>
        <w:right w:val="none" w:sz="0" w:space="0" w:color="auto"/>
      </w:divBdr>
    </w:div>
    <w:div w:id="2077238290">
      <w:bodyDiv w:val="1"/>
      <w:marLeft w:val="0"/>
      <w:marRight w:val="0"/>
      <w:marTop w:val="0"/>
      <w:marBottom w:val="0"/>
      <w:divBdr>
        <w:top w:val="none" w:sz="0" w:space="0" w:color="auto"/>
        <w:left w:val="none" w:sz="0" w:space="0" w:color="auto"/>
        <w:bottom w:val="none" w:sz="0" w:space="0" w:color="auto"/>
        <w:right w:val="none" w:sz="0" w:space="0" w:color="auto"/>
      </w:divBdr>
    </w:div>
    <w:div w:id="2137331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987</Words>
  <Characters>5629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4</cp:revision>
  <cp:lastPrinted>2017-01-19T00:12:00Z</cp:lastPrinted>
  <dcterms:created xsi:type="dcterms:W3CDTF">2017-01-19T00:11:00Z</dcterms:created>
  <dcterms:modified xsi:type="dcterms:W3CDTF">2017-01-19T00:26:00Z</dcterms:modified>
</cp:coreProperties>
</file>