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 xml:space="preserve">Commonwealth of PA v. Henry J. </w:t>
      </w:r>
      <w:proofErr w:type="spellStart"/>
      <w:r w:rsidR="00C93AEF">
        <w:rPr>
          <w:sz w:val="24"/>
          <w:szCs w:val="24"/>
        </w:rPr>
        <w:t>Manney</w:t>
      </w:r>
      <w:proofErr w:type="spellEnd"/>
      <w:r w:rsidR="00C93AEF">
        <w:rPr>
          <w:sz w:val="24"/>
          <w:szCs w:val="24"/>
        </w:rPr>
        <w:t>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C93AEF">
        <w:rPr>
          <w:sz w:val="24"/>
          <w:szCs w:val="24"/>
        </w:rPr>
        <w:t xml:space="preserve">J. </w:t>
      </w:r>
      <w:proofErr w:type="spellStart"/>
      <w:r w:rsidR="00C93AEF">
        <w:rPr>
          <w:sz w:val="24"/>
          <w:szCs w:val="24"/>
        </w:rPr>
        <w:t>Tamilia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>1992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>PFA, ICC, assault</w:t>
      </w:r>
      <w:r w:rsidR="00A81F89">
        <w:rPr>
          <w:sz w:val="24"/>
          <w:szCs w:val="24"/>
        </w:rPr>
        <w:t>, double jeopardy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 xml:space="preserve">Physical assault while under PFA; sentenced to 90 days incarceration for ICC.  </w:t>
      </w:r>
      <w:proofErr w:type="gramStart"/>
      <w:r w:rsidR="00C93AEF">
        <w:rPr>
          <w:sz w:val="24"/>
          <w:szCs w:val="24"/>
        </w:rPr>
        <w:t>Subsequently prosecuted for simple assault.</w:t>
      </w:r>
      <w:proofErr w:type="gramEnd"/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>Did trial court err in sentencing defendant to 3-23 months for simple assault after he’d already been sentenced 90 days incarceration for ICC?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C93AEF">
        <w:rPr>
          <w:sz w:val="24"/>
          <w:szCs w:val="24"/>
        </w:rPr>
        <w:t xml:space="preserve">Trial courts’ </w:t>
      </w:r>
      <w:r w:rsidR="00A81F89">
        <w:rPr>
          <w:sz w:val="24"/>
          <w:szCs w:val="24"/>
        </w:rPr>
        <w:t xml:space="preserve">sentencing </w:t>
      </w:r>
      <w:r w:rsidR="00C93AEF">
        <w:rPr>
          <w:sz w:val="24"/>
          <w:szCs w:val="24"/>
        </w:rPr>
        <w:t>judgments upheld:  not a double jeopardy issue.</w:t>
      </w:r>
    </w:p>
    <w:p w:rsidR="00A81F89" w:rsidRDefault="00E16E68" w:rsidP="00A81F8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A81F89" w:rsidRDefault="00A81F89" w:rsidP="00A81F89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Prosecution of attack was first for violation of court Order, not assaultive behavior.</w:t>
      </w:r>
    </w:p>
    <w:p w:rsidR="00A81F89" w:rsidRPr="00A81F89" w:rsidRDefault="00A81F89" w:rsidP="00A81F89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color w:val="171E22"/>
          <w:shd w:val="clear" w:color="auto" w:fill="FFFFFF"/>
        </w:rPr>
        <w:t>“The violation of the Order and the underlying assaultive act which proves the violation are not the same offense for double jeopardy purposes.”</w:t>
      </w:r>
      <w:r>
        <w:rPr>
          <w:rStyle w:val="apple-converted-space"/>
          <w:color w:val="171E22"/>
          <w:shd w:val="clear" w:color="auto" w:fill="FFFFFF"/>
        </w:rPr>
        <w:t> </w:t>
      </w:r>
      <w:r>
        <w:rPr>
          <w:i/>
          <w:iCs/>
          <w:color w:val="171E22"/>
          <w:shd w:val="clear" w:color="auto" w:fill="FFFFFF"/>
        </w:rPr>
        <w:t xml:space="preserve">Com. v. </w:t>
      </w:r>
      <w:proofErr w:type="spellStart"/>
      <w:r>
        <w:rPr>
          <w:i/>
          <w:iCs/>
          <w:color w:val="171E22"/>
          <w:shd w:val="clear" w:color="auto" w:fill="FFFFFF"/>
        </w:rPr>
        <w:t>Manney</w:t>
      </w:r>
      <w:proofErr w:type="spellEnd"/>
      <w:r>
        <w:rPr>
          <w:color w:val="171E22"/>
          <w:shd w:val="clear" w:color="auto" w:fill="FFFFFF"/>
        </w:rPr>
        <w:t>, 421 Pa. Super. 244, 246 (Pa. Super. Ct. 1992)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E16E68" w:rsidRDefault="00E16E68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C93AEF" w:rsidRPr="00C93AEF" w:rsidRDefault="00C93AEF" w:rsidP="00C93AEF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color w:val="171E22"/>
        </w:rPr>
        <w:t>“</w:t>
      </w:r>
      <w:proofErr w:type="spellStart"/>
      <w:r>
        <w:rPr>
          <w:color w:val="171E22"/>
        </w:rPr>
        <w:t>Manney</w:t>
      </w:r>
      <w:proofErr w:type="spellEnd"/>
      <w:r>
        <w:rPr>
          <w:color w:val="171E22"/>
        </w:rPr>
        <w:t xml:space="preserve"> appeals from the judgment of sentence and argues his conviction and incarceration for criminal contempt barred the subsequent prosecution for simple assault under the double jeopardy doctrine.”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 xml:space="preserve">Com. v. </w:t>
      </w:r>
      <w:proofErr w:type="spellStart"/>
      <w:r>
        <w:rPr>
          <w:i/>
          <w:iCs/>
          <w:color w:val="171E22"/>
        </w:rPr>
        <w:t>Manney</w:t>
      </w:r>
      <w:proofErr w:type="spellEnd"/>
      <w:r>
        <w:rPr>
          <w:color w:val="171E22"/>
        </w:rPr>
        <w:t>, 421 Pa. Super. 244, 245 (Pa. Super. Ct. 1992)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C93AEF" w:rsidRPr="00C93AEF" w:rsidRDefault="00C93AEF" w:rsidP="00C93AE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Comm. v. Allen</w:t>
      </w:r>
      <w:r>
        <w:rPr>
          <w:b/>
          <w:sz w:val="24"/>
          <w:szCs w:val="24"/>
        </w:rPr>
        <w:t xml:space="preserve"> (PA 1984):</w:t>
      </w:r>
      <w:r>
        <w:rPr>
          <w:sz w:val="24"/>
          <w:szCs w:val="24"/>
        </w:rPr>
        <w:t xml:space="preserve">  </w:t>
      </w:r>
      <w:r>
        <w:rPr>
          <w:color w:val="171E22"/>
        </w:rPr>
        <w:t>“The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Allen</w:t>
      </w:r>
      <w:r>
        <w:rPr>
          <w:rStyle w:val="apple-converted-space"/>
          <w:color w:val="171E22"/>
        </w:rPr>
        <w:t> </w:t>
      </w:r>
      <w:r>
        <w:rPr>
          <w:color w:val="171E22"/>
        </w:rPr>
        <w:t>Court held prosecution of the defendant for rape, simple assault and criminal trespass was not barred under the double jeopardy clause by a prior finding</w:t>
      </w:r>
      <w:r>
        <w:rPr>
          <w:rStyle w:val="apple-converted-space"/>
          <w:color w:val="171E22"/>
        </w:rPr>
        <w:t> </w:t>
      </w:r>
      <w:r>
        <w:rPr>
          <w:color w:val="171E22"/>
        </w:rPr>
        <w:t>he was in contempt for violation of a PFA Order, even though the contempt proceeding involved the same conduct.”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 xml:space="preserve">Com. v. </w:t>
      </w:r>
      <w:proofErr w:type="spellStart"/>
      <w:r>
        <w:rPr>
          <w:i/>
          <w:iCs/>
          <w:color w:val="171E22"/>
        </w:rPr>
        <w:t>Manney</w:t>
      </w:r>
      <w:proofErr w:type="spellEnd"/>
      <w:r>
        <w:rPr>
          <w:color w:val="171E22"/>
        </w:rPr>
        <w:t>, 421 Pa. Super. 244, 245-46 (Pa. Super. Ct. 1992)</w:t>
      </w:r>
    </w:p>
    <w:p w:rsidR="00C93AEF" w:rsidRPr="00C93AEF" w:rsidRDefault="00C93AEF" w:rsidP="00C93AE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Grady v Corbin</w:t>
      </w:r>
      <w:r>
        <w:rPr>
          <w:b/>
          <w:sz w:val="24"/>
          <w:szCs w:val="24"/>
        </w:rPr>
        <w:t xml:space="preserve"> (US 1990):</w:t>
      </w:r>
      <w:r>
        <w:rPr>
          <w:sz w:val="24"/>
          <w:szCs w:val="24"/>
        </w:rPr>
        <w:t xml:space="preserve">  </w:t>
      </w:r>
      <w:r w:rsidRPr="00C93AEF">
        <w:rPr>
          <w:i/>
          <w:sz w:val="24"/>
          <w:szCs w:val="24"/>
        </w:rPr>
        <w:t>(cited by defense)</w:t>
      </w:r>
      <w:r>
        <w:rPr>
          <w:sz w:val="24"/>
          <w:szCs w:val="24"/>
        </w:rPr>
        <w:t xml:space="preserve"> critical inquiry in double jeopardy was “what conduct the state would attempt to prove, not what evidence the state will use to prove the conduct.”</w:t>
      </w:r>
    </w:p>
    <w:p w:rsidR="00C93AEF" w:rsidRPr="00A81F89" w:rsidRDefault="00C93AEF" w:rsidP="00C93AE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US v.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Felix</w:t>
      </w:r>
      <w:r>
        <w:rPr>
          <w:b/>
          <w:sz w:val="24"/>
          <w:szCs w:val="24"/>
        </w:rPr>
        <w:t xml:space="preserve"> (US 1992):</w:t>
      </w:r>
      <w:r>
        <w:rPr>
          <w:sz w:val="24"/>
          <w:szCs w:val="24"/>
        </w:rPr>
        <w:t xml:space="preserve">  </w:t>
      </w:r>
      <w:r w:rsidRPr="00C93AEF">
        <w:rPr>
          <w:i/>
          <w:sz w:val="24"/>
          <w:szCs w:val="24"/>
        </w:rPr>
        <w:t>(cited by defense)</w:t>
      </w:r>
      <w:r>
        <w:rPr>
          <w:sz w:val="24"/>
          <w:szCs w:val="24"/>
        </w:rPr>
        <w:t xml:space="preserve"> subsequent pros barred under DJ clause if </w:t>
      </w:r>
      <w:proofErr w:type="spellStart"/>
      <w:r>
        <w:rPr>
          <w:sz w:val="24"/>
          <w:szCs w:val="24"/>
        </w:rPr>
        <w:t>gov’t</w:t>
      </w:r>
      <w:proofErr w:type="spellEnd"/>
      <w:r>
        <w:rPr>
          <w:sz w:val="24"/>
          <w:szCs w:val="24"/>
        </w:rPr>
        <w:t xml:space="preserve"> will need to prove conduct that def has already been prosecuted for.</w:t>
      </w:r>
    </w:p>
    <w:p w:rsidR="00A81F89" w:rsidRPr="00C93AEF" w:rsidRDefault="00A81F89" w:rsidP="00C93AE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Comm. v. Warrick </w:t>
      </w:r>
      <w:r>
        <w:rPr>
          <w:b/>
          <w:sz w:val="24"/>
          <w:szCs w:val="24"/>
        </w:rPr>
        <w:t xml:space="preserve">(1992):  </w:t>
      </w:r>
      <w:r>
        <w:rPr>
          <w:sz w:val="24"/>
          <w:szCs w:val="24"/>
        </w:rPr>
        <w:t>direct criminal contempt doesn’t trigger DJ protections.  (</w:t>
      </w:r>
      <w:r>
        <w:rPr>
          <w:color w:val="171E22"/>
        </w:rPr>
        <w:t>“We realize the crime of which appellant herein was convicted was indirect criminal contempt, but find the court's reasoning plainly applicable to the matter before us.”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 xml:space="preserve">Com. v. </w:t>
      </w:r>
      <w:proofErr w:type="spellStart"/>
      <w:r>
        <w:rPr>
          <w:i/>
          <w:iCs/>
          <w:color w:val="171E22"/>
        </w:rPr>
        <w:t>Manney</w:t>
      </w:r>
      <w:proofErr w:type="spellEnd"/>
      <w:r>
        <w:rPr>
          <w:color w:val="171E22"/>
        </w:rPr>
        <w:t>, 421 Pa. Super. 244, 246 n.3 (Pa. Super. Ct. 1992))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Pr="00A81F89" w:rsidRDefault="0015215A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Commentary:</w:t>
      </w:r>
      <w:r w:rsidR="00A81F89">
        <w:rPr>
          <w:sz w:val="24"/>
          <w:szCs w:val="24"/>
        </w:rPr>
        <w:t xml:space="preserve">  followed by </w:t>
      </w:r>
      <w:r w:rsidR="00A81F89">
        <w:rPr>
          <w:i/>
          <w:sz w:val="24"/>
          <w:szCs w:val="24"/>
        </w:rPr>
        <w:t xml:space="preserve">Comm. v. </w:t>
      </w:r>
      <w:proofErr w:type="spellStart"/>
      <w:r w:rsidR="00A81F89">
        <w:rPr>
          <w:i/>
          <w:sz w:val="24"/>
          <w:szCs w:val="24"/>
        </w:rPr>
        <w:t>Aikins</w:t>
      </w:r>
      <w:proofErr w:type="spellEnd"/>
      <w:r w:rsidR="00A81F89">
        <w:rPr>
          <w:sz w:val="24"/>
          <w:szCs w:val="24"/>
        </w:rPr>
        <w:t xml:space="preserve"> (1993); abrogated by </w:t>
      </w:r>
      <w:r w:rsidR="00A81F89">
        <w:rPr>
          <w:i/>
          <w:sz w:val="24"/>
          <w:szCs w:val="24"/>
        </w:rPr>
        <w:t>Comm. v. Decker</w:t>
      </w:r>
      <w:r w:rsidR="00A81F89">
        <w:rPr>
          <w:sz w:val="24"/>
          <w:szCs w:val="24"/>
        </w:rPr>
        <w:t xml:space="preserve"> (1995).</w:t>
      </w:r>
    </w:p>
    <w:sectPr w:rsidR="0015215A" w:rsidRPr="00A81F8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50A" w:rsidRDefault="0099150A" w:rsidP="00E16E68">
      <w:pPr>
        <w:spacing w:after="0" w:line="240" w:lineRule="auto"/>
      </w:pPr>
      <w:r>
        <w:separator/>
      </w:r>
    </w:p>
  </w:endnote>
  <w:endnote w:type="continuationSeparator" w:id="0">
    <w:p w:rsidR="0099150A" w:rsidRDefault="0099150A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50A" w:rsidRDefault="0099150A" w:rsidP="00E16E68">
      <w:pPr>
        <w:spacing w:after="0" w:line="240" w:lineRule="auto"/>
      </w:pPr>
      <w:r>
        <w:separator/>
      </w:r>
    </w:p>
  </w:footnote>
  <w:footnote w:type="continuationSeparator" w:id="0">
    <w:p w:rsidR="0099150A" w:rsidRDefault="0099150A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C93AEF">
      <w:t>1992</w:t>
    </w:r>
    <w:r w:rsidR="00E16E68">
      <w:tab/>
    </w:r>
    <w:r w:rsidR="00C93AEF">
      <w:t xml:space="preserve">Comm. v. </w:t>
    </w:r>
    <w:proofErr w:type="spellStart"/>
    <w:r w:rsidR="00C93AEF">
      <w:t>Manney</w:t>
    </w:r>
    <w:proofErr w:type="spellEnd"/>
  </w:p>
  <w:p w:rsidR="00F95A0E" w:rsidRDefault="00F95A0E" w:rsidP="00F95A0E">
    <w:pPr>
      <w:pStyle w:val="Header"/>
      <w:jc w:val="right"/>
    </w:pPr>
    <w:r>
      <w:tab/>
    </w:r>
    <w:r>
      <w:tab/>
    </w:r>
    <w:r w:rsidR="00C93AEF">
      <w:t>DOUBLE JEOPARDY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BD24B0"/>
    <w:multiLevelType w:val="hybridMultilevel"/>
    <w:tmpl w:val="E072FC0E"/>
    <w:lvl w:ilvl="0" w:tplc="D098D6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D6476F"/>
    <w:multiLevelType w:val="hybridMultilevel"/>
    <w:tmpl w:val="6694CA12"/>
    <w:lvl w:ilvl="0" w:tplc="05D644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2A4683"/>
    <w:rsid w:val="005F2C53"/>
    <w:rsid w:val="00692188"/>
    <w:rsid w:val="006A18CC"/>
    <w:rsid w:val="007B337C"/>
    <w:rsid w:val="009645CA"/>
    <w:rsid w:val="0099150A"/>
    <w:rsid w:val="00A20DAD"/>
    <w:rsid w:val="00A41926"/>
    <w:rsid w:val="00A56A0E"/>
    <w:rsid w:val="00A81F89"/>
    <w:rsid w:val="00AA40E8"/>
    <w:rsid w:val="00C5621B"/>
    <w:rsid w:val="00C93AEF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93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2017-02-06T14:30:00Z</dcterms:created>
  <dcterms:modified xsi:type="dcterms:W3CDTF">2017-02-06T14:30:00Z</dcterms:modified>
</cp:coreProperties>
</file>