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4C5241">
        <w:rPr>
          <w:sz w:val="24"/>
          <w:szCs w:val="24"/>
        </w:rPr>
        <w:t xml:space="preserve">Commonwealth of PA v. </w:t>
      </w:r>
      <w:proofErr w:type="spellStart"/>
      <w:r w:rsidR="004C5241">
        <w:rPr>
          <w:sz w:val="24"/>
          <w:szCs w:val="24"/>
        </w:rPr>
        <w:t>Ardella</w:t>
      </w:r>
      <w:proofErr w:type="spellEnd"/>
      <w:r w:rsidR="004C5241">
        <w:rPr>
          <w:sz w:val="24"/>
          <w:szCs w:val="24"/>
        </w:rPr>
        <w:t xml:space="preserve"> Miller, Appellant</w:t>
      </w:r>
    </w:p>
    <w:p w:rsidR="00E16E68" w:rsidRPr="000933B7" w:rsidRDefault="00E16E68" w:rsidP="00E16E68">
      <w:pPr>
        <w:rPr>
          <w:sz w:val="24"/>
          <w:szCs w:val="24"/>
        </w:rPr>
      </w:pPr>
      <w:r>
        <w:rPr>
          <w:b/>
          <w:sz w:val="24"/>
          <w:szCs w:val="24"/>
        </w:rPr>
        <w:t>Judge:</w:t>
      </w:r>
      <w:r>
        <w:rPr>
          <w:b/>
          <w:sz w:val="24"/>
          <w:szCs w:val="24"/>
        </w:rPr>
        <w:tab/>
      </w:r>
      <w:r w:rsidR="004C5241">
        <w:rPr>
          <w:sz w:val="24"/>
          <w:szCs w:val="24"/>
        </w:rPr>
        <w:t xml:space="preserve">J. </w:t>
      </w:r>
      <w:proofErr w:type="spellStart"/>
      <w:r w:rsidR="004C5241">
        <w:rPr>
          <w:sz w:val="24"/>
          <w:szCs w:val="24"/>
        </w:rPr>
        <w:t>Hudock</w:t>
      </w:r>
      <w:proofErr w:type="spellEnd"/>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4C5241">
        <w:rPr>
          <w:sz w:val="24"/>
          <w:szCs w:val="24"/>
        </w:rPr>
        <w:t>1993</w:t>
      </w:r>
    </w:p>
    <w:p w:rsidR="00E16E68" w:rsidRPr="000933B7" w:rsidRDefault="00E16E68" w:rsidP="00E16E68">
      <w:pPr>
        <w:rPr>
          <w:sz w:val="24"/>
          <w:szCs w:val="24"/>
        </w:rPr>
      </w:pPr>
      <w:r>
        <w:rPr>
          <w:b/>
          <w:sz w:val="24"/>
          <w:szCs w:val="24"/>
        </w:rPr>
        <w:t>Tags:</w:t>
      </w:r>
      <w:r w:rsidR="000933B7">
        <w:rPr>
          <w:sz w:val="24"/>
          <w:szCs w:val="24"/>
        </w:rPr>
        <w:t xml:space="preserve"> </w:t>
      </w:r>
      <w:r w:rsidR="005D6593">
        <w:rPr>
          <w:sz w:val="24"/>
          <w:szCs w:val="24"/>
        </w:rPr>
        <w:t>3</w:t>
      </w:r>
      <w:r w:rsidR="005D6593" w:rsidRPr="005D6593">
        <w:rPr>
          <w:sz w:val="24"/>
          <w:szCs w:val="24"/>
          <w:vertAlign w:val="superscript"/>
        </w:rPr>
        <w:t>rd</w:t>
      </w:r>
      <w:r w:rsidR="005D6593">
        <w:rPr>
          <w:sz w:val="24"/>
          <w:szCs w:val="24"/>
        </w:rPr>
        <w:t xml:space="preserve"> degree murder, self-defense, battered woman syndrome, evidentiary hearing, ineffective counsel</w:t>
      </w:r>
    </w:p>
    <w:p w:rsidR="00E16E68" w:rsidRPr="000933B7" w:rsidRDefault="00E16E68" w:rsidP="00E16E68">
      <w:pPr>
        <w:rPr>
          <w:sz w:val="24"/>
          <w:szCs w:val="24"/>
        </w:rPr>
      </w:pPr>
      <w:r>
        <w:rPr>
          <w:b/>
          <w:sz w:val="24"/>
          <w:szCs w:val="24"/>
        </w:rPr>
        <w:t>Facts:</w:t>
      </w:r>
      <w:r w:rsidR="000933B7">
        <w:rPr>
          <w:sz w:val="24"/>
          <w:szCs w:val="24"/>
        </w:rPr>
        <w:t xml:space="preserve"> </w:t>
      </w:r>
      <w:r w:rsidR="004C5241">
        <w:rPr>
          <w:sz w:val="24"/>
          <w:szCs w:val="24"/>
        </w:rPr>
        <w:t>Appellant convicted of murder of 3</w:t>
      </w:r>
      <w:r w:rsidR="004C5241" w:rsidRPr="004C5241">
        <w:rPr>
          <w:sz w:val="24"/>
          <w:szCs w:val="24"/>
          <w:vertAlign w:val="superscript"/>
        </w:rPr>
        <w:t>rd</w:t>
      </w:r>
      <w:r w:rsidR="004C5241">
        <w:rPr>
          <w:sz w:val="24"/>
          <w:szCs w:val="24"/>
        </w:rPr>
        <w:t xml:space="preserve"> degree.  Harassed/abused by husband, stabbed him.  </w:t>
      </w:r>
      <w:proofErr w:type="gramStart"/>
      <w:r w:rsidR="004C5241">
        <w:rPr>
          <w:sz w:val="24"/>
          <w:szCs w:val="24"/>
        </w:rPr>
        <w:t>Past abusive relationship &amp; criminal record of victim.</w:t>
      </w:r>
      <w:proofErr w:type="gramEnd"/>
    </w:p>
    <w:p w:rsidR="0010547E" w:rsidRDefault="00E16E68" w:rsidP="0015215A">
      <w:pPr>
        <w:spacing w:after="0"/>
        <w:rPr>
          <w:sz w:val="24"/>
          <w:szCs w:val="24"/>
        </w:rPr>
      </w:pPr>
      <w:r>
        <w:rPr>
          <w:b/>
          <w:sz w:val="24"/>
          <w:szCs w:val="24"/>
        </w:rPr>
        <w:t>Gravamen/Question(s) at issue:</w:t>
      </w:r>
      <w:r w:rsidR="000933B7">
        <w:rPr>
          <w:sz w:val="24"/>
          <w:szCs w:val="24"/>
        </w:rPr>
        <w:t xml:space="preserve"> </w:t>
      </w:r>
    </w:p>
    <w:p w:rsidR="004C5241" w:rsidRDefault="004C5241" w:rsidP="004C5241">
      <w:pPr>
        <w:pStyle w:val="ListParagraph"/>
        <w:numPr>
          <w:ilvl w:val="0"/>
          <w:numId w:val="3"/>
        </w:numPr>
        <w:spacing w:after="0"/>
        <w:rPr>
          <w:sz w:val="24"/>
          <w:szCs w:val="24"/>
        </w:rPr>
      </w:pPr>
      <w:r>
        <w:rPr>
          <w:sz w:val="24"/>
          <w:szCs w:val="24"/>
        </w:rPr>
        <w:t xml:space="preserve">Do the federal and state constitutions compel a new trial because trial counsel overrode </w:t>
      </w:r>
      <w:proofErr w:type="spellStart"/>
      <w:r>
        <w:rPr>
          <w:sz w:val="24"/>
          <w:szCs w:val="24"/>
        </w:rPr>
        <w:t>def’s</w:t>
      </w:r>
      <w:proofErr w:type="spellEnd"/>
      <w:r>
        <w:rPr>
          <w:sz w:val="24"/>
          <w:szCs w:val="24"/>
        </w:rPr>
        <w:t xml:space="preserve"> expressed desire to testify?  </w:t>
      </w:r>
      <w:r w:rsidRPr="004C5241">
        <w:rPr>
          <w:i/>
          <w:sz w:val="24"/>
          <w:szCs w:val="24"/>
        </w:rPr>
        <w:t>[This one was not included in written post-verdict motion, so was waived for appellate review.]</w:t>
      </w:r>
    </w:p>
    <w:p w:rsidR="004C5241" w:rsidRDefault="004C5241" w:rsidP="004C5241">
      <w:pPr>
        <w:pStyle w:val="ListParagraph"/>
        <w:numPr>
          <w:ilvl w:val="0"/>
          <w:numId w:val="3"/>
        </w:numPr>
        <w:spacing w:after="0"/>
        <w:rPr>
          <w:sz w:val="24"/>
          <w:szCs w:val="24"/>
        </w:rPr>
      </w:pPr>
      <w:r>
        <w:rPr>
          <w:sz w:val="24"/>
          <w:szCs w:val="24"/>
        </w:rPr>
        <w:t>Was Comm. wrong to disprove self-defense (saying victim was unarmed, had not caused serious bodily injury in past, woman had stayed in abusive relationship)?</w:t>
      </w:r>
    </w:p>
    <w:p w:rsidR="004C5241" w:rsidRDefault="004C5241" w:rsidP="004C5241">
      <w:pPr>
        <w:pStyle w:val="ListParagraph"/>
        <w:numPr>
          <w:ilvl w:val="0"/>
          <w:numId w:val="3"/>
        </w:numPr>
        <w:spacing w:after="0"/>
        <w:rPr>
          <w:sz w:val="24"/>
          <w:szCs w:val="24"/>
        </w:rPr>
      </w:pPr>
      <w:r>
        <w:rPr>
          <w:sz w:val="24"/>
          <w:szCs w:val="24"/>
        </w:rPr>
        <w:t>Does Comm. sufficiently prove malice rather than self-defense?</w:t>
      </w:r>
    </w:p>
    <w:p w:rsidR="004C5241" w:rsidRPr="004C5241" w:rsidRDefault="004C5241" w:rsidP="004C5241">
      <w:pPr>
        <w:pStyle w:val="ListParagraph"/>
        <w:numPr>
          <w:ilvl w:val="0"/>
          <w:numId w:val="3"/>
        </w:numPr>
        <w:spacing w:after="0"/>
        <w:rPr>
          <w:sz w:val="24"/>
          <w:szCs w:val="24"/>
        </w:rPr>
      </w:pPr>
      <w:r>
        <w:rPr>
          <w:sz w:val="24"/>
          <w:szCs w:val="24"/>
        </w:rPr>
        <w:t>Was trial counsel ineffective for failing to corroborate the self defense claim with available evidence</w:t>
      </w:r>
      <w:r w:rsidR="006D3AE8">
        <w:rPr>
          <w:sz w:val="24"/>
          <w:szCs w:val="24"/>
        </w:rPr>
        <w:t xml:space="preserve"> (incl. expert testimony about battered woman syndrome)</w:t>
      </w:r>
      <w:r>
        <w:rPr>
          <w:sz w:val="24"/>
          <w:szCs w:val="24"/>
        </w:rPr>
        <w:t>?</w:t>
      </w:r>
    </w:p>
    <w:p w:rsidR="0015215A" w:rsidRPr="0010547E" w:rsidRDefault="0015215A" w:rsidP="0015215A">
      <w:pPr>
        <w:spacing w:after="0"/>
        <w:rPr>
          <w:sz w:val="24"/>
          <w:szCs w:val="24"/>
        </w:rPr>
      </w:pPr>
    </w:p>
    <w:p w:rsidR="0015215A" w:rsidRDefault="00E16E68" w:rsidP="00E16E68">
      <w:pPr>
        <w:rPr>
          <w:sz w:val="24"/>
          <w:szCs w:val="24"/>
        </w:rPr>
      </w:pPr>
      <w:r>
        <w:rPr>
          <w:b/>
          <w:sz w:val="24"/>
          <w:szCs w:val="24"/>
        </w:rPr>
        <w:t>Holdings:</w:t>
      </w:r>
      <w:r w:rsidR="000933B7">
        <w:rPr>
          <w:sz w:val="24"/>
          <w:szCs w:val="24"/>
        </w:rPr>
        <w:t xml:space="preserve"> </w:t>
      </w:r>
      <w:r w:rsidR="004C5241">
        <w:rPr>
          <w:sz w:val="24"/>
          <w:szCs w:val="24"/>
        </w:rPr>
        <w:t>3</w:t>
      </w:r>
      <w:r w:rsidR="004C5241" w:rsidRPr="004C5241">
        <w:rPr>
          <w:sz w:val="24"/>
          <w:szCs w:val="24"/>
          <w:vertAlign w:val="superscript"/>
        </w:rPr>
        <w:t>rd</w:t>
      </w:r>
      <w:r w:rsidR="004C5241">
        <w:rPr>
          <w:sz w:val="24"/>
          <w:szCs w:val="24"/>
        </w:rPr>
        <w:t xml:space="preserve"> Degree murder conviction vacated, case remanded for evidentiary hearing</w:t>
      </w:r>
      <w:r w:rsidR="006D3AE8">
        <w:rPr>
          <w:sz w:val="24"/>
          <w:szCs w:val="24"/>
        </w:rPr>
        <w:t xml:space="preserve"> to determine whether trial counsel was ineffective or effective</w:t>
      </w:r>
      <w:r w:rsidR="004C5241">
        <w:rPr>
          <w:sz w:val="24"/>
          <w:szCs w:val="24"/>
        </w:rPr>
        <w:t>.</w:t>
      </w:r>
    </w:p>
    <w:p w:rsidR="006D3AE8" w:rsidRDefault="00E16E68" w:rsidP="006D3AE8">
      <w:pPr>
        <w:spacing w:after="0"/>
        <w:rPr>
          <w:sz w:val="24"/>
          <w:szCs w:val="24"/>
        </w:rPr>
      </w:pPr>
      <w:r>
        <w:rPr>
          <w:b/>
          <w:sz w:val="24"/>
          <w:szCs w:val="24"/>
        </w:rPr>
        <w:t>Rationale:</w:t>
      </w:r>
      <w:r w:rsidR="0010547E">
        <w:rPr>
          <w:sz w:val="24"/>
          <w:szCs w:val="24"/>
        </w:rPr>
        <w:t xml:space="preserve"> </w:t>
      </w:r>
    </w:p>
    <w:p w:rsidR="006D3AE8" w:rsidRPr="006D3AE8" w:rsidRDefault="006D3AE8" w:rsidP="006D3AE8">
      <w:pPr>
        <w:pStyle w:val="ListParagraph"/>
        <w:numPr>
          <w:ilvl w:val="0"/>
          <w:numId w:val="7"/>
        </w:numPr>
        <w:spacing w:after="0"/>
        <w:rPr>
          <w:sz w:val="24"/>
          <w:szCs w:val="24"/>
        </w:rPr>
      </w:pPr>
      <w:r>
        <w:rPr>
          <w:color w:val="171E22"/>
        </w:rPr>
        <w:t>“After a thorough examination of the record, we conclude that there is arguable merit to each of Appellant's contentions that counsel was ineffective at trial.”</w:t>
      </w:r>
      <w:r>
        <w:rPr>
          <w:rStyle w:val="apple-converted-space"/>
          <w:color w:val="171E22"/>
        </w:rPr>
        <w:t> </w:t>
      </w:r>
      <w:r>
        <w:rPr>
          <w:i/>
          <w:iCs/>
          <w:color w:val="171E22"/>
        </w:rPr>
        <w:t>Com. v. Miller</w:t>
      </w:r>
      <w:r>
        <w:rPr>
          <w:color w:val="171E22"/>
        </w:rPr>
        <w:t>, 430 Pa. Super. 297, 308 (Pa. Super. Ct. 1993)</w:t>
      </w:r>
    </w:p>
    <w:p w:rsidR="0015215A" w:rsidRDefault="0015215A" w:rsidP="00FC5FA0">
      <w:pPr>
        <w:spacing w:after="0"/>
        <w:rPr>
          <w:b/>
          <w:sz w:val="24"/>
          <w:szCs w:val="24"/>
        </w:rPr>
      </w:pPr>
      <w:r>
        <w:rPr>
          <w:b/>
          <w:sz w:val="24"/>
          <w:szCs w:val="24"/>
        </w:rPr>
        <w:t>Trial Court Input:</w:t>
      </w:r>
    </w:p>
    <w:p w:rsidR="00FC5FA0" w:rsidRPr="00FC5FA0" w:rsidRDefault="00FC5FA0" w:rsidP="00FC5FA0">
      <w:pPr>
        <w:pStyle w:val="ListParagraph"/>
        <w:numPr>
          <w:ilvl w:val="0"/>
          <w:numId w:val="6"/>
        </w:numPr>
        <w:spacing w:after="0"/>
        <w:rPr>
          <w:b/>
          <w:sz w:val="24"/>
          <w:szCs w:val="24"/>
        </w:rPr>
      </w:pPr>
      <w:r w:rsidRPr="00FC5FA0">
        <w:rPr>
          <w:color w:val="171E22"/>
        </w:rPr>
        <w:t>“As is apparent from the guilty verdict, the trial court disbelieved Appellant's self-defense claim, and found the requisite malice to support the third degree murder conviction</w:t>
      </w:r>
      <w:proofErr w:type="gramStart"/>
      <w:r w:rsidRPr="00FC5FA0">
        <w:rPr>
          <w:color w:val="171E22"/>
        </w:rPr>
        <w:t>.</w:t>
      </w:r>
      <w:r w:rsidRPr="00FC5FA0">
        <w:rPr>
          <w:rStyle w:val="apple-converted-space"/>
          <w:color w:val="171E22"/>
        </w:rPr>
        <w:t> </w:t>
      </w:r>
      <w:r w:rsidRPr="00FC5FA0">
        <w:rPr>
          <w:color w:val="171E22"/>
        </w:rPr>
        <w:t>”</w:t>
      </w:r>
      <w:proofErr w:type="gramEnd"/>
      <w:r w:rsidRPr="00FC5FA0">
        <w:rPr>
          <w:rStyle w:val="apple-converted-space"/>
          <w:color w:val="171E22"/>
        </w:rPr>
        <w:t> </w:t>
      </w:r>
      <w:r w:rsidRPr="00FC5FA0">
        <w:rPr>
          <w:i/>
          <w:iCs/>
          <w:color w:val="171E22"/>
        </w:rPr>
        <w:t>Com. v. Miller</w:t>
      </w:r>
      <w:r w:rsidRPr="00FC5FA0">
        <w:rPr>
          <w:color w:val="171E22"/>
        </w:rPr>
        <w:t>, 430 Pa. Super. 297, 306 (Pa. Super. Ct. 1993)</w:t>
      </w:r>
    </w:p>
    <w:p w:rsidR="006D3AE8" w:rsidRDefault="0015215A" w:rsidP="006D3AE8">
      <w:pPr>
        <w:spacing w:after="0"/>
        <w:rPr>
          <w:b/>
          <w:sz w:val="24"/>
          <w:szCs w:val="24"/>
        </w:rPr>
      </w:pPr>
      <w:r>
        <w:rPr>
          <w:b/>
          <w:sz w:val="24"/>
          <w:szCs w:val="24"/>
        </w:rPr>
        <w:t>Dicta:</w:t>
      </w:r>
    </w:p>
    <w:p w:rsidR="006D3AE8" w:rsidRPr="006D3AE8" w:rsidRDefault="006D3AE8" w:rsidP="006D3AE8">
      <w:pPr>
        <w:pStyle w:val="blockquote"/>
        <w:numPr>
          <w:ilvl w:val="0"/>
          <w:numId w:val="6"/>
        </w:numPr>
        <w:spacing w:before="0" w:beforeAutospacing="0" w:after="150" w:afterAutospacing="0"/>
        <w:rPr>
          <w:color w:val="171E22"/>
        </w:rPr>
      </w:pPr>
      <w:r>
        <w:rPr>
          <w:color w:val="171E22"/>
        </w:rPr>
        <w:t>One matter to be considered on remand is the "battered woman syndrome." Clearly, to date this syndrome has not been adopted as a separate defense in Pennsylvania. Moreover, the use and acceptance of such evidence, while discussed in several recent cases, remains unclear. In determining to what extent, if any, Appellant's previous counsel was ineffective for failing to introduce this expert testimony, it becomes</w:t>
      </w:r>
      <w:r>
        <w:rPr>
          <w:rStyle w:val="apple-converted-space"/>
          <w:color w:val="171E22"/>
        </w:rPr>
        <w:t> </w:t>
      </w:r>
      <w:r>
        <w:rPr>
          <w:color w:val="171E22"/>
        </w:rPr>
        <w:t xml:space="preserve">necessary to determine the precise level of acceptance this evidence has garnered in this state's jurisprudence. It is for this reason that a brief review of the "battered woman syndrome," as discussed in recent Pennsylvania appellate decisions, is in order.  </w:t>
      </w:r>
      <w:r w:rsidRPr="006D3AE8">
        <w:rPr>
          <w:i/>
          <w:iCs/>
          <w:color w:val="171E22"/>
        </w:rPr>
        <w:t>Com. v. Miller</w:t>
      </w:r>
      <w:r w:rsidRPr="006D3AE8">
        <w:rPr>
          <w:color w:val="171E22"/>
        </w:rPr>
        <w:t xml:space="preserve">, 430 Pa. Super. </w:t>
      </w:r>
      <w:proofErr w:type="gramStart"/>
      <w:r w:rsidRPr="006D3AE8">
        <w:rPr>
          <w:color w:val="171E22"/>
        </w:rPr>
        <w:t>297, 309-10 (Pa. Super.</w:t>
      </w:r>
      <w:proofErr w:type="gramEnd"/>
      <w:r w:rsidRPr="006D3AE8">
        <w:rPr>
          <w:color w:val="171E22"/>
        </w:rPr>
        <w:t xml:space="preserve"> Ct. 1993)</w:t>
      </w:r>
    </w:p>
    <w:p w:rsidR="00E16E68" w:rsidRDefault="00E16E68" w:rsidP="0010547E">
      <w:pPr>
        <w:spacing w:after="0"/>
        <w:rPr>
          <w:b/>
          <w:sz w:val="24"/>
          <w:szCs w:val="24"/>
        </w:rPr>
      </w:pPr>
      <w:r>
        <w:rPr>
          <w:b/>
          <w:sz w:val="24"/>
          <w:szCs w:val="24"/>
        </w:rPr>
        <w:t>Attorneys’ Arguments:</w:t>
      </w:r>
    </w:p>
    <w:p w:rsidR="00FC5FA0" w:rsidRPr="00FC5FA0" w:rsidRDefault="00FC5FA0" w:rsidP="00FC5FA0">
      <w:pPr>
        <w:pStyle w:val="ListParagraph"/>
        <w:numPr>
          <w:ilvl w:val="0"/>
          <w:numId w:val="5"/>
        </w:numPr>
        <w:spacing w:after="0"/>
        <w:rPr>
          <w:b/>
          <w:sz w:val="24"/>
          <w:szCs w:val="24"/>
        </w:rPr>
      </w:pPr>
      <w:r>
        <w:rPr>
          <w:sz w:val="24"/>
          <w:szCs w:val="24"/>
        </w:rPr>
        <w:t>Commonwealth’s argument establishing malice via the deadly weapon is negated by the evidence also presented by the Comm. that establishes self-defense, “a concept mutually exclusive to malice.”</w:t>
      </w:r>
    </w:p>
    <w:p w:rsidR="006A18CC" w:rsidRPr="0010547E" w:rsidRDefault="006A18CC" w:rsidP="006A18CC">
      <w:pPr>
        <w:pStyle w:val="ListParagraph"/>
        <w:spacing w:after="0"/>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7518A6" w:rsidRPr="007518A6" w:rsidRDefault="007518A6" w:rsidP="007518A6">
      <w:pPr>
        <w:pStyle w:val="ListParagraph"/>
        <w:numPr>
          <w:ilvl w:val="0"/>
          <w:numId w:val="4"/>
        </w:numPr>
        <w:spacing w:after="0"/>
        <w:rPr>
          <w:b/>
          <w:sz w:val="24"/>
          <w:szCs w:val="24"/>
        </w:rPr>
      </w:pPr>
      <w:r>
        <w:rPr>
          <w:b/>
          <w:i/>
          <w:sz w:val="24"/>
          <w:szCs w:val="24"/>
        </w:rPr>
        <w:t xml:space="preserve">Comm. v. </w:t>
      </w:r>
      <w:proofErr w:type="spellStart"/>
      <w:r>
        <w:rPr>
          <w:b/>
          <w:i/>
          <w:sz w:val="24"/>
          <w:szCs w:val="24"/>
        </w:rPr>
        <w:t>Pigg</w:t>
      </w:r>
      <w:proofErr w:type="spellEnd"/>
      <w:r>
        <w:rPr>
          <w:i/>
          <w:sz w:val="24"/>
          <w:szCs w:val="24"/>
        </w:rPr>
        <w:t xml:space="preserve"> </w:t>
      </w:r>
      <w:r>
        <w:rPr>
          <w:sz w:val="24"/>
          <w:szCs w:val="24"/>
        </w:rPr>
        <w:t>(1990):  3</w:t>
      </w:r>
      <w:r w:rsidRPr="007518A6">
        <w:rPr>
          <w:sz w:val="24"/>
          <w:szCs w:val="24"/>
          <w:vertAlign w:val="superscript"/>
        </w:rPr>
        <w:t>rd</w:t>
      </w:r>
      <w:r>
        <w:rPr>
          <w:sz w:val="24"/>
          <w:szCs w:val="24"/>
        </w:rPr>
        <w:t xml:space="preserve"> degree murder:  neither intentional nor committed during perpetration of a felony, but contains the requisite malice aforethought ( = “wickedness of disposition, hardness of heart, cruelty, recklessness of consequences, mind regardless of social duty”)</w:t>
      </w:r>
    </w:p>
    <w:p w:rsidR="007518A6" w:rsidRPr="007518A6" w:rsidRDefault="007518A6" w:rsidP="007518A6">
      <w:pPr>
        <w:pStyle w:val="ListParagraph"/>
        <w:numPr>
          <w:ilvl w:val="0"/>
          <w:numId w:val="4"/>
        </w:numPr>
        <w:spacing w:after="0"/>
        <w:rPr>
          <w:b/>
          <w:sz w:val="24"/>
          <w:szCs w:val="24"/>
        </w:rPr>
      </w:pPr>
      <w:r>
        <w:rPr>
          <w:b/>
          <w:i/>
          <w:sz w:val="24"/>
          <w:szCs w:val="24"/>
        </w:rPr>
        <w:t xml:space="preserve">Comm. v. </w:t>
      </w:r>
      <w:proofErr w:type="spellStart"/>
      <w:r>
        <w:rPr>
          <w:b/>
          <w:i/>
          <w:sz w:val="24"/>
          <w:szCs w:val="24"/>
        </w:rPr>
        <w:t>Hinchcliffe</w:t>
      </w:r>
      <w:proofErr w:type="spellEnd"/>
      <w:r>
        <w:rPr>
          <w:sz w:val="24"/>
          <w:szCs w:val="24"/>
        </w:rPr>
        <w:t xml:space="preserve"> (1978):  “when a def. claims self-defense, the Comm. must disprove the claim </w:t>
      </w:r>
      <w:r>
        <w:rPr>
          <w:b/>
          <w:sz w:val="24"/>
          <w:szCs w:val="24"/>
        </w:rPr>
        <w:t>beyond a reasonable doubt</w:t>
      </w:r>
      <w:r>
        <w:rPr>
          <w:sz w:val="24"/>
          <w:szCs w:val="24"/>
        </w:rPr>
        <w:t>.”</w:t>
      </w:r>
    </w:p>
    <w:p w:rsidR="007518A6" w:rsidRPr="00FC5FA0" w:rsidRDefault="007518A6" w:rsidP="007518A6">
      <w:pPr>
        <w:pStyle w:val="ListParagraph"/>
        <w:numPr>
          <w:ilvl w:val="0"/>
          <w:numId w:val="4"/>
        </w:numPr>
        <w:spacing w:after="0"/>
        <w:rPr>
          <w:b/>
          <w:sz w:val="24"/>
          <w:szCs w:val="24"/>
        </w:rPr>
      </w:pPr>
      <w:proofErr w:type="spellStart"/>
      <w:r>
        <w:rPr>
          <w:b/>
          <w:i/>
          <w:sz w:val="24"/>
          <w:szCs w:val="24"/>
        </w:rPr>
        <w:t>Comm</w:t>
      </w:r>
      <w:proofErr w:type="spellEnd"/>
      <w:r>
        <w:rPr>
          <w:b/>
          <w:i/>
          <w:sz w:val="24"/>
          <w:szCs w:val="24"/>
        </w:rPr>
        <w:t xml:space="preserve"> v. </w:t>
      </w:r>
      <w:proofErr w:type="spellStart"/>
      <w:r>
        <w:rPr>
          <w:b/>
          <w:i/>
          <w:sz w:val="24"/>
          <w:szCs w:val="24"/>
        </w:rPr>
        <w:t>Heatherington</w:t>
      </w:r>
      <w:proofErr w:type="spellEnd"/>
      <w:r>
        <w:rPr>
          <w:sz w:val="24"/>
          <w:szCs w:val="24"/>
        </w:rPr>
        <w:t xml:space="preserve"> (1978):  “in a prosecution for murder, evidence of provocation or self-defense tends to negate the malice required to prove murder.”</w:t>
      </w:r>
    </w:p>
    <w:p w:rsidR="00FC5FA0" w:rsidRPr="006D3AE8" w:rsidRDefault="00FC5FA0" w:rsidP="007518A6">
      <w:pPr>
        <w:pStyle w:val="ListParagraph"/>
        <w:numPr>
          <w:ilvl w:val="0"/>
          <w:numId w:val="4"/>
        </w:numPr>
        <w:spacing w:after="0"/>
        <w:rPr>
          <w:b/>
          <w:sz w:val="24"/>
          <w:szCs w:val="24"/>
        </w:rPr>
      </w:pPr>
      <w:r>
        <w:rPr>
          <w:b/>
          <w:i/>
          <w:sz w:val="24"/>
          <w:szCs w:val="24"/>
        </w:rPr>
        <w:t>Comm. v. Butler</w:t>
      </w:r>
      <w:r>
        <w:rPr>
          <w:sz w:val="24"/>
          <w:szCs w:val="24"/>
        </w:rPr>
        <w:t xml:space="preserve"> (1972):  malice established by use of deadly instrument on vital part of body</w:t>
      </w:r>
    </w:p>
    <w:p w:rsidR="006D3AE8" w:rsidRPr="006D3AE8" w:rsidRDefault="006D3AE8" w:rsidP="007518A6">
      <w:pPr>
        <w:pStyle w:val="ListParagraph"/>
        <w:numPr>
          <w:ilvl w:val="0"/>
          <w:numId w:val="4"/>
        </w:numPr>
        <w:spacing w:after="0"/>
        <w:rPr>
          <w:b/>
          <w:sz w:val="24"/>
          <w:szCs w:val="24"/>
        </w:rPr>
      </w:pPr>
      <w:r>
        <w:rPr>
          <w:b/>
          <w:i/>
          <w:sz w:val="24"/>
          <w:szCs w:val="24"/>
        </w:rPr>
        <w:t xml:space="preserve">Comm. v. </w:t>
      </w:r>
      <w:proofErr w:type="spellStart"/>
      <w:r>
        <w:rPr>
          <w:b/>
          <w:i/>
          <w:sz w:val="24"/>
          <w:szCs w:val="24"/>
        </w:rPr>
        <w:t>Stonehouse</w:t>
      </w:r>
      <w:proofErr w:type="spellEnd"/>
      <w:r>
        <w:rPr>
          <w:b/>
          <w:i/>
          <w:sz w:val="24"/>
          <w:szCs w:val="24"/>
        </w:rPr>
        <w:t xml:space="preserve"> </w:t>
      </w:r>
      <w:r>
        <w:rPr>
          <w:sz w:val="24"/>
          <w:szCs w:val="24"/>
        </w:rPr>
        <w:t>(1989):  where trial counsel found ineffective for failing to present effective testimony on battered woman syndrome</w:t>
      </w:r>
    </w:p>
    <w:p w:rsidR="006D3AE8" w:rsidRPr="006D3AE8" w:rsidRDefault="006D3AE8" w:rsidP="007518A6">
      <w:pPr>
        <w:pStyle w:val="ListParagraph"/>
        <w:numPr>
          <w:ilvl w:val="0"/>
          <w:numId w:val="4"/>
        </w:numPr>
        <w:spacing w:after="0"/>
        <w:rPr>
          <w:b/>
          <w:sz w:val="24"/>
          <w:szCs w:val="24"/>
        </w:rPr>
      </w:pPr>
      <w:r>
        <w:rPr>
          <w:b/>
          <w:i/>
          <w:sz w:val="24"/>
          <w:szCs w:val="24"/>
        </w:rPr>
        <w:t xml:space="preserve">Comm. v. </w:t>
      </w:r>
      <w:proofErr w:type="spellStart"/>
      <w:r>
        <w:rPr>
          <w:b/>
          <w:i/>
          <w:sz w:val="24"/>
          <w:szCs w:val="24"/>
        </w:rPr>
        <w:t>Petras</w:t>
      </w:r>
      <w:proofErr w:type="spellEnd"/>
      <w:r>
        <w:rPr>
          <w:i/>
          <w:sz w:val="24"/>
          <w:szCs w:val="24"/>
        </w:rPr>
        <w:t xml:space="preserve"> </w:t>
      </w:r>
      <w:r>
        <w:rPr>
          <w:sz w:val="24"/>
          <w:szCs w:val="24"/>
        </w:rPr>
        <w:t xml:space="preserve">(1987): </w:t>
      </w:r>
      <w:proofErr w:type="spellStart"/>
      <w:proofErr w:type="gramStart"/>
      <w:r>
        <w:rPr>
          <w:sz w:val="24"/>
          <w:szCs w:val="24"/>
        </w:rPr>
        <w:t>nec</w:t>
      </w:r>
      <w:proofErr w:type="spellEnd"/>
      <w:proofErr w:type="gramEnd"/>
      <w:r>
        <w:rPr>
          <w:sz w:val="24"/>
          <w:szCs w:val="24"/>
        </w:rPr>
        <w:t xml:space="preserve">. </w:t>
      </w:r>
      <w:proofErr w:type="gramStart"/>
      <w:r>
        <w:rPr>
          <w:sz w:val="24"/>
          <w:szCs w:val="24"/>
        </w:rPr>
        <w:t>to</w:t>
      </w:r>
      <w:proofErr w:type="gramEnd"/>
      <w:r>
        <w:rPr>
          <w:sz w:val="24"/>
          <w:szCs w:val="24"/>
        </w:rPr>
        <w:t xml:space="preserve"> conduct evidentiary hearing to determine whether trial counsel had reasonable basis for actions/omissions.</w:t>
      </w:r>
    </w:p>
    <w:p w:rsidR="006D3AE8" w:rsidRPr="007518A6" w:rsidRDefault="006D3AE8" w:rsidP="007518A6">
      <w:pPr>
        <w:pStyle w:val="ListParagraph"/>
        <w:numPr>
          <w:ilvl w:val="0"/>
          <w:numId w:val="4"/>
        </w:numPr>
        <w:spacing w:after="0"/>
        <w:rPr>
          <w:b/>
          <w:sz w:val="24"/>
          <w:szCs w:val="24"/>
        </w:rPr>
      </w:pPr>
      <w:r>
        <w:rPr>
          <w:b/>
          <w:i/>
          <w:sz w:val="24"/>
          <w:szCs w:val="24"/>
        </w:rPr>
        <w:t xml:space="preserve">Comm. v. Dillon </w:t>
      </w:r>
      <w:r>
        <w:rPr>
          <w:sz w:val="24"/>
          <w:szCs w:val="24"/>
        </w:rPr>
        <w:t xml:space="preserve">(1991):  </w:t>
      </w:r>
      <w:r w:rsidR="00863DAF">
        <w:rPr>
          <w:sz w:val="24"/>
          <w:szCs w:val="24"/>
        </w:rPr>
        <w:t xml:space="preserve">concurrence: evidence re. cumulative effects of wife-beating and general spousal abuse </w:t>
      </w:r>
      <w:r w:rsidR="00863DAF">
        <w:rPr>
          <w:i/>
          <w:sz w:val="24"/>
          <w:szCs w:val="24"/>
        </w:rPr>
        <w:t>must</w:t>
      </w:r>
      <w:r w:rsidR="00863DAF">
        <w:rPr>
          <w:sz w:val="24"/>
          <w:szCs w:val="24"/>
        </w:rPr>
        <w:t xml:space="preserve"> be admissible when self-def is argued for spousal homicide</w:t>
      </w:r>
    </w:p>
    <w:p w:rsidR="0015215A" w:rsidRDefault="0015215A" w:rsidP="0010547E">
      <w:pPr>
        <w:spacing w:after="0"/>
        <w:rPr>
          <w:b/>
          <w:sz w:val="24"/>
          <w:szCs w:val="24"/>
        </w:rPr>
      </w:pPr>
    </w:p>
    <w:p w:rsidR="0015215A" w:rsidRDefault="0015215A" w:rsidP="0010547E">
      <w:pPr>
        <w:spacing w:after="0"/>
        <w:rPr>
          <w:sz w:val="24"/>
          <w:szCs w:val="24"/>
        </w:rPr>
      </w:pPr>
      <w:r>
        <w:rPr>
          <w:b/>
          <w:sz w:val="24"/>
          <w:szCs w:val="24"/>
        </w:rPr>
        <w:t>Commentary:</w:t>
      </w:r>
    </w:p>
    <w:p w:rsidR="00FC5FA0" w:rsidRDefault="00FC5FA0" w:rsidP="00FC5FA0">
      <w:pPr>
        <w:pStyle w:val="ListParagraph"/>
        <w:numPr>
          <w:ilvl w:val="0"/>
          <w:numId w:val="4"/>
        </w:numPr>
        <w:spacing w:after="0"/>
        <w:rPr>
          <w:sz w:val="24"/>
          <w:szCs w:val="24"/>
        </w:rPr>
      </w:pPr>
      <w:r w:rsidRPr="00863DAF">
        <w:rPr>
          <w:b/>
          <w:sz w:val="24"/>
          <w:szCs w:val="24"/>
        </w:rPr>
        <w:t>Self-defense must have three elements</w:t>
      </w:r>
      <w:r>
        <w:rPr>
          <w:sz w:val="24"/>
          <w:szCs w:val="24"/>
        </w:rPr>
        <w:t>:</w:t>
      </w:r>
    </w:p>
    <w:p w:rsidR="00FC5FA0" w:rsidRDefault="00FC5FA0" w:rsidP="00FC5FA0">
      <w:pPr>
        <w:pStyle w:val="ListParagraph"/>
        <w:numPr>
          <w:ilvl w:val="1"/>
          <w:numId w:val="4"/>
        </w:numPr>
        <w:spacing w:after="0"/>
        <w:rPr>
          <w:sz w:val="24"/>
          <w:szCs w:val="24"/>
        </w:rPr>
      </w:pPr>
      <w:r>
        <w:rPr>
          <w:sz w:val="24"/>
          <w:szCs w:val="24"/>
        </w:rPr>
        <w:t>Def. free from fault in provoking or continuing incident</w:t>
      </w:r>
    </w:p>
    <w:p w:rsidR="00FC5FA0" w:rsidRDefault="00FC5FA0" w:rsidP="00FC5FA0">
      <w:pPr>
        <w:pStyle w:val="ListParagraph"/>
        <w:numPr>
          <w:ilvl w:val="1"/>
          <w:numId w:val="4"/>
        </w:numPr>
        <w:spacing w:after="0"/>
        <w:rPr>
          <w:sz w:val="24"/>
          <w:szCs w:val="24"/>
        </w:rPr>
      </w:pPr>
      <w:r>
        <w:rPr>
          <w:sz w:val="24"/>
          <w:szCs w:val="24"/>
        </w:rPr>
        <w:t>Def. reasonably in fear of imminent danger of death or harm, so force was necessary</w:t>
      </w:r>
    </w:p>
    <w:p w:rsidR="00FC5FA0" w:rsidRDefault="00FC5FA0" w:rsidP="00FC5FA0">
      <w:pPr>
        <w:pStyle w:val="ListParagraph"/>
        <w:numPr>
          <w:ilvl w:val="1"/>
          <w:numId w:val="4"/>
        </w:numPr>
        <w:spacing w:after="0"/>
        <w:rPr>
          <w:sz w:val="24"/>
          <w:szCs w:val="24"/>
        </w:rPr>
      </w:pPr>
      <w:r>
        <w:rPr>
          <w:sz w:val="24"/>
          <w:szCs w:val="24"/>
        </w:rPr>
        <w:t>Def. “did not violate any duty to retreat or avoid the danger”</w:t>
      </w:r>
    </w:p>
    <w:p w:rsidR="00FC5FA0" w:rsidRDefault="00FC5FA0" w:rsidP="00FC5FA0">
      <w:pPr>
        <w:pStyle w:val="ListParagraph"/>
        <w:spacing w:after="0"/>
        <w:rPr>
          <w:sz w:val="24"/>
          <w:szCs w:val="24"/>
        </w:rPr>
      </w:pPr>
      <w:r>
        <w:rPr>
          <w:sz w:val="24"/>
          <w:szCs w:val="24"/>
        </w:rPr>
        <w:t>(Comm. must only disprove ONE of these to defeat a claim of self-defense.)</w:t>
      </w:r>
    </w:p>
    <w:p w:rsidR="006D3AE8" w:rsidRDefault="006D3AE8" w:rsidP="00FC5FA0">
      <w:pPr>
        <w:pStyle w:val="ListParagraph"/>
        <w:spacing w:after="0"/>
        <w:rPr>
          <w:sz w:val="24"/>
          <w:szCs w:val="24"/>
        </w:rPr>
      </w:pPr>
    </w:p>
    <w:p w:rsidR="006D3AE8" w:rsidRPr="00863DAF" w:rsidRDefault="006D3AE8" w:rsidP="006D3AE8">
      <w:pPr>
        <w:pStyle w:val="ListParagraph"/>
        <w:numPr>
          <w:ilvl w:val="0"/>
          <w:numId w:val="4"/>
        </w:numPr>
        <w:spacing w:after="0"/>
        <w:rPr>
          <w:b/>
          <w:sz w:val="24"/>
          <w:szCs w:val="24"/>
        </w:rPr>
      </w:pPr>
      <w:r w:rsidRPr="00863DAF">
        <w:rPr>
          <w:b/>
          <w:sz w:val="24"/>
          <w:szCs w:val="24"/>
        </w:rPr>
        <w:t>Proving ineffective counsel:</w:t>
      </w:r>
    </w:p>
    <w:p w:rsidR="006D3AE8" w:rsidRDefault="006D3AE8" w:rsidP="006D3AE8">
      <w:pPr>
        <w:pStyle w:val="ListParagraph"/>
        <w:numPr>
          <w:ilvl w:val="1"/>
          <w:numId w:val="4"/>
        </w:numPr>
        <w:spacing w:after="0"/>
        <w:rPr>
          <w:sz w:val="24"/>
          <w:szCs w:val="24"/>
        </w:rPr>
      </w:pPr>
      <w:r>
        <w:rPr>
          <w:sz w:val="24"/>
          <w:szCs w:val="24"/>
        </w:rPr>
        <w:t>If underlying claim is of arguable merit;</w:t>
      </w:r>
    </w:p>
    <w:p w:rsidR="006D3AE8" w:rsidRDefault="006D3AE8" w:rsidP="006D3AE8">
      <w:pPr>
        <w:pStyle w:val="ListParagraph"/>
        <w:numPr>
          <w:ilvl w:val="1"/>
          <w:numId w:val="4"/>
        </w:numPr>
        <w:spacing w:after="0"/>
        <w:rPr>
          <w:sz w:val="24"/>
          <w:szCs w:val="24"/>
        </w:rPr>
      </w:pPr>
      <w:r>
        <w:rPr>
          <w:sz w:val="24"/>
          <w:szCs w:val="24"/>
        </w:rPr>
        <w:t>Whether counsel’s choice of action had some reasonable basis designed to effectuate client’s interests;</w:t>
      </w:r>
    </w:p>
    <w:p w:rsidR="006D3AE8" w:rsidRDefault="006D3AE8" w:rsidP="006D3AE8">
      <w:pPr>
        <w:pStyle w:val="ListParagraph"/>
        <w:numPr>
          <w:ilvl w:val="1"/>
          <w:numId w:val="4"/>
        </w:numPr>
        <w:spacing w:after="0"/>
        <w:rPr>
          <w:sz w:val="24"/>
          <w:szCs w:val="24"/>
        </w:rPr>
      </w:pPr>
      <w:r>
        <w:rPr>
          <w:sz w:val="24"/>
          <w:szCs w:val="24"/>
        </w:rPr>
        <w:t xml:space="preserve">Show how </w:t>
      </w:r>
      <w:proofErr w:type="spellStart"/>
      <w:r>
        <w:rPr>
          <w:sz w:val="24"/>
          <w:szCs w:val="24"/>
        </w:rPr>
        <w:t>counsel’s</w:t>
      </w:r>
      <w:proofErr w:type="spellEnd"/>
      <w:r>
        <w:rPr>
          <w:sz w:val="24"/>
          <w:szCs w:val="24"/>
        </w:rPr>
        <w:t xml:space="preserve"> actions prejudiced the client.</w:t>
      </w:r>
    </w:p>
    <w:p w:rsidR="006D3AE8" w:rsidRDefault="006D3AE8" w:rsidP="006D3AE8">
      <w:pPr>
        <w:pStyle w:val="ListParagraph"/>
        <w:spacing w:after="0"/>
        <w:rPr>
          <w:sz w:val="24"/>
          <w:szCs w:val="24"/>
        </w:rPr>
      </w:pPr>
      <w:r>
        <w:rPr>
          <w:sz w:val="24"/>
          <w:szCs w:val="24"/>
        </w:rPr>
        <w:t>(Burden of establishing ineffectiveness rests squarely upon def; law presumes counsel is effective.)</w:t>
      </w:r>
    </w:p>
    <w:p w:rsidR="006D3AE8" w:rsidRDefault="006D3AE8" w:rsidP="006D3AE8">
      <w:pPr>
        <w:spacing w:after="0"/>
        <w:rPr>
          <w:sz w:val="24"/>
          <w:szCs w:val="24"/>
        </w:rPr>
      </w:pPr>
    </w:p>
    <w:p w:rsidR="006D3AE8" w:rsidRPr="006D3AE8" w:rsidRDefault="006D3AE8" w:rsidP="006D3AE8">
      <w:pPr>
        <w:pStyle w:val="ListParagraph"/>
        <w:numPr>
          <w:ilvl w:val="0"/>
          <w:numId w:val="4"/>
        </w:numPr>
        <w:spacing w:after="0"/>
        <w:rPr>
          <w:sz w:val="24"/>
          <w:szCs w:val="24"/>
        </w:rPr>
      </w:pPr>
      <w:r w:rsidRPr="00863DAF">
        <w:rPr>
          <w:b/>
          <w:sz w:val="24"/>
          <w:szCs w:val="24"/>
        </w:rPr>
        <w:t>On battered women syndrome:</w:t>
      </w:r>
      <w:r>
        <w:rPr>
          <w:sz w:val="24"/>
          <w:szCs w:val="24"/>
        </w:rPr>
        <w:t xml:space="preserve">  </w:t>
      </w:r>
      <w:r>
        <w:rPr>
          <w:color w:val="171E22"/>
        </w:rPr>
        <w:t>“the cumulative effects of psychological and physical abuse when assessing the reasonableness of a battered person's fear of imminent danger of death or serious bodily harm with respect to her claim of self-defense”</w:t>
      </w:r>
      <w:r>
        <w:rPr>
          <w:rStyle w:val="apple-converted-space"/>
          <w:color w:val="171E22"/>
        </w:rPr>
        <w:t> </w:t>
      </w:r>
      <w:r>
        <w:rPr>
          <w:i/>
          <w:iCs/>
          <w:color w:val="171E22"/>
        </w:rPr>
        <w:t>Com. v. Miller</w:t>
      </w:r>
      <w:r>
        <w:rPr>
          <w:color w:val="171E22"/>
        </w:rPr>
        <w:t>, 430 Pa. Super. 297, 310 (Pa. Super. Ct. 1993)</w:t>
      </w:r>
    </w:p>
    <w:p w:rsidR="006D3AE8" w:rsidRPr="00863DAF" w:rsidRDefault="006D3AE8" w:rsidP="006D3AE8">
      <w:pPr>
        <w:pStyle w:val="ListParagraph"/>
        <w:numPr>
          <w:ilvl w:val="0"/>
          <w:numId w:val="4"/>
        </w:numPr>
        <w:spacing w:after="0"/>
        <w:rPr>
          <w:sz w:val="24"/>
          <w:szCs w:val="24"/>
        </w:rPr>
      </w:pPr>
      <w:r>
        <w:rPr>
          <w:color w:val="171E22"/>
        </w:rPr>
        <w:t>“Justice Larsen's lead opinion in</w:t>
      </w:r>
      <w:r>
        <w:rPr>
          <w:rStyle w:val="apple-converted-space"/>
          <w:color w:val="171E22"/>
        </w:rPr>
        <w:t> </w:t>
      </w:r>
      <w:proofErr w:type="spellStart"/>
      <w:r>
        <w:rPr>
          <w:i/>
          <w:iCs/>
          <w:color w:val="171E22"/>
        </w:rPr>
        <w:t>Stonehouse</w:t>
      </w:r>
      <w:proofErr w:type="spellEnd"/>
      <w:r>
        <w:rPr>
          <w:rStyle w:val="apple-converted-space"/>
          <w:color w:val="171E22"/>
        </w:rPr>
        <w:t> </w:t>
      </w:r>
      <w:r>
        <w:rPr>
          <w:color w:val="171E22"/>
        </w:rPr>
        <w:t xml:space="preserve">did not garner enough </w:t>
      </w:r>
      <w:proofErr w:type="spellStart"/>
      <w:r>
        <w:rPr>
          <w:color w:val="171E22"/>
        </w:rPr>
        <w:t>joinders</w:t>
      </w:r>
      <w:proofErr w:type="spellEnd"/>
      <w:r>
        <w:rPr>
          <w:color w:val="171E22"/>
        </w:rPr>
        <w:t xml:space="preserve"> to establish it as precedent.”</w:t>
      </w:r>
      <w:r>
        <w:rPr>
          <w:rStyle w:val="apple-converted-space"/>
          <w:color w:val="171E22"/>
        </w:rPr>
        <w:t> </w:t>
      </w:r>
      <w:r>
        <w:rPr>
          <w:i/>
          <w:iCs/>
          <w:color w:val="171E22"/>
        </w:rPr>
        <w:t>Com. v. Miller</w:t>
      </w:r>
      <w:r>
        <w:rPr>
          <w:color w:val="171E22"/>
        </w:rPr>
        <w:t>, 430 Pa. Super. 297, 310 (Pa. Super. Ct. 1993)</w:t>
      </w:r>
    </w:p>
    <w:p w:rsidR="00863DAF" w:rsidRPr="00863DAF" w:rsidRDefault="00863DAF" w:rsidP="006D3AE8">
      <w:pPr>
        <w:pStyle w:val="ListParagraph"/>
        <w:numPr>
          <w:ilvl w:val="0"/>
          <w:numId w:val="4"/>
        </w:numPr>
        <w:spacing w:after="0"/>
        <w:rPr>
          <w:sz w:val="24"/>
          <w:szCs w:val="24"/>
        </w:rPr>
      </w:pPr>
      <w:r>
        <w:rPr>
          <w:color w:val="171E22"/>
        </w:rPr>
        <w:t>It’s not a separate and distinct defense to homicide, but can be offered as “additional probative info relating to the ‘reasonable belief’ requirement.”</w:t>
      </w:r>
    </w:p>
    <w:p w:rsidR="00863DAF" w:rsidRPr="006D3AE8" w:rsidRDefault="00863DAF" w:rsidP="006D3AE8">
      <w:pPr>
        <w:pStyle w:val="ListParagraph"/>
        <w:numPr>
          <w:ilvl w:val="0"/>
          <w:numId w:val="4"/>
        </w:numPr>
        <w:spacing w:after="0"/>
        <w:rPr>
          <w:sz w:val="24"/>
          <w:szCs w:val="24"/>
        </w:rPr>
      </w:pPr>
      <w:r>
        <w:rPr>
          <w:color w:val="171E22"/>
        </w:rPr>
        <w:t>“Given the tenor of the various opinions quoted above, and the reasons given therein, today we hold that such evidence is admissible as probative evidence of the defendant's state of mind as it relates to a theory of self-defense</w:t>
      </w:r>
      <w:proofErr w:type="gramStart"/>
      <w:r>
        <w:rPr>
          <w:color w:val="171E22"/>
        </w:rPr>
        <w:t>.</w:t>
      </w:r>
      <w:r>
        <w:rPr>
          <w:rStyle w:val="apple-converted-space"/>
          <w:color w:val="171E22"/>
        </w:rPr>
        <w:t> </w:t>
      </w:r>
      <w:r>
        <w:rPr>
          <w:color w:val="171E22"/>
        </w:rPr>
        <w:t>”</w:t>
      </w:r>
      <w:proofErr w:type="gramEnd"/>
      <w:r>
        <w:rPr>
          <w:rStyle w:val="apple-converted-space"/>
          <w:color w:val="171E22"/>
        </w:rPr>
        <w:t> </w:t>
      </w:r>
      <w:r>
        <w:rPr>
          <w:i/>
          <w:iCs/>
          <w:color w:val="171E22"/>
        </w:rPr>
        <w:t>Com. v. Miller</w:t>
      </w:r>
      <w:r>
        <w:rPr>
          <w:color w:val="171E22"/>
        </w:rPr>
        <w:t>, 430 Pa. Super. 297, 313 (Pa. Super. Ct. 1993)</w:t>
      </w:r>
    </w:p>
    <w:sectPr w:rsidR="00863DAF" w:rsidRPr="006D3AE8"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49D2" w:rsidRDefault="000649D2" w:rsidP="00E16E68">
      <w:pPr>
        <w:spacing w:after="0" w:line="240" w:lineRule="auto"/>
      </w:pPr>
      <w:r>
        <w:separator/>
      </w:r>
    </w:p>
  </w:endnote>
  <w:endnote w:type="continuationSeparator" w:id="0">
    <w:p w:rsidR="000649D2" w:rsidRDefault="000649D2"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49D2" w:rsidRDefault="000649D2" w:rsidP="00E16E68">
      <w:pPr>
        <w:spacing w:after="0" w:line="240" w:lineRule="auto"/>
      </w:pPr>
      <w:r>
        <w:separator/>
      </w:r>
    </w:p>
  </w:footnote>
  <w:footnote w:type="continuationSeparator" w:id="0">
    <w:p w:rsidR="000649D2" w:rsidRDefault="000649D2"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4C5241">
      <w:t>1993</w:t>
    </w:r>
    <w:r w:rsidR="00E16E68">
      <w:tab/>
    </w:r>
    <w:r w:rsidR="004C5241">
      <w:t>Comm. v. Miller</w:t>
    </w:r>
  </w:p>
  <w:p w:rsidR="00F95A0E" w:rsidRDefault="00F95A0E" w:rsidP="00F95A0E">
    <w:pPr>
      <w:pStyle w:val="Header"/>
      <w:jc w:val="right"/>
    </w:pPr>
    <w:r>
      <w:tab/>
    </w:r>
    <w:r>
      <w:tab/>
    </w:r>
    <w:r w:rsidR="007518A6">
      <w:t>SELF-DEFENSE</w:t>
    </w:r>
    <w:r w:rsidR="005D6593">
      <w:t>: DV</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C66146"/>
    <w:multiLevelType w:val="hybridMultilevel"/>
    <w:tmpl w:val="BB7C16A2"/>
    <w:lvl w:ilvl="0" w:tplc="9D72BFEE">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1B321AB"/>
    <w:multiLevelType w:val="hybridMultilevel"/>
    <w:tmpl w:val="336E5D40"/>
    <w:lvl w:ilvl="0" w:tplc="689A3588">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C1339D9"/>
    <w:multiLevelType w:val="hybridMultilevel"/>
    <w:tmpl w:val="1AEADCA2"/>
    <w:lvl w:ilvl="0" w:tplc="5C0EE12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EA54F51"/>
    <w:multiLevelType w:val="hybridMultilevel"/>
    <w:tmpl w:val="3B8496CE"/>
    <w:lvl w:ilvl="0" w:tplc="7DDA8E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2E30F00"/>
    <w:multiLevelType w:val="hybridMultilevel"/>
    <w:tmpl w:val="819001D6"/>
    <w:lvl w:ilvl="0" w:tplc="B33C941C">
      <w:start w:val="1"/>
      <w:numFmt w:val="bullet"/>
      <w:lvlText w:val=""/>
      <w:lvlJc w:val="left"/>
      <w:pPr>
        <w:ind w:left="720" w:hanging="360"/>
      </w:pPr>
      <w:rPr>
        <w:rFonts w:ascii="Symbol" w:eastAsiaTheme="minorHAnsi" w:hAnsi="Symbol" w:cstheme="minorBidi" w:hint="default"/>
        <w:b w:val="0"/>
        <w:color w:val="171E22"/>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0"/>
  </w:num>
  <w:num w:numId="3">
    <w:abstractNumId w:val="4"/>
  </w:num>
  <w:num w:numId="4">
    <w:abstractNumId w:val="2"/>
  </w:num>
  <w:num w:numId="5">
    <w:abstractNumId w:val="3"/>
  </w:num>
  <w:num w:numId="6">
    <w:abstractNumId w:val="5"/>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649D2"/>
    <w:rsid w:val="000933B7"/>
    <w:rsid w:val="0010547E"/>
    <w:rsid w:val="00144D3B"/>
    <w:rsid w:val="0015215A"/>
    <w:rsid w:val="0016476D"/>
    <w:rsid w:val="004C5241"/>
    <w:rsid w:val="005A5910"/>
    <w:rsid w:val="005D6593"/>
    <w:rsid w:val="005F2C53"/>
    <w:rsid w:val="00692188"/>
    <w:rsid w:val="006A18CC"/>
    <w:rsid w:val="006D3AE8"/>
    <w:rsid w:val="007518A6"/>
    <w:rsid w:val="007B337C"/>
    <w:rsid w:val="00863DAF"/>
    <w:rsid w:val="009645CA"/>
    <w:rsid w:val="00A20DAD"/>
    <w:rsid w:val="00A41926"/>
    <w:rsid w:val="00A56A0E"/>
    <w:rsid w:val="00AA40E8"/>
    <w:rsid w:val="00C5621B"/>
    <w:rsid w:val="00E16E68"/>
    <w:rsid w:val="00F954BD"/>
    <w:rsid w:val="00F95A0E"/>
    <w:rsid w:val="00FC5FA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 w:type="character" w:customStyle="1" w:styleId="apple-converted-space">
    <w:name w:val="apple-converted-space"/>
    <w:basedOn w:val="DefaultParagraphFont"/>
    <w:rsid w:val="00FC5FA0"/>
  </w:style>
  <w:style w:type="paragraph" w:customStyle="1" w:styleId="blockquote">
    <w:name w:val="blockquote"/>
    <w:basedOn w:val="Normal"/>
    <w:rsid w:val="006D3AE8"/>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6D3AE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33602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795</Words>
  <Characters>4533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3</cp:revision>
  <cp:lastPrinted>2016-10-19T14:31:00Z</cp:lastPrinted>
  <dcterms:created xsi:type="dcterms:W3CDTF">2017-02-09T20:31:00Z</dcterms:created>
  <dcterms:modified xsi:type="dcterms:W3CDTF">2017-02-09T20:33:00Z</dcterms:modified>
</cp:coreProperties>
</file>