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A63AE1">
        <w:rPr>
          <w:sz w:val="24"/>
          <w:szCs w:val="24"/>
        </w:rPr>
        <w:t>Commonwealth of PA, Appellant, v. Clarence Nelson</w:t>
      </w:r>
    </w:p>
    <w:p w:rsidR="00E16E68" w:rsidRPr="000933B7" w:rsidRDefault="00E16E68" w:rsidP="00E16E68">
      <w:pPr>
        <w:rPr>
          <w:sz w:val="24"/>
          <w:szCs w:val="24"/>
        </w:rPr>
      </w:pPr>
      <w:r>
        <w:rPr>
          <w:b/>
          <w:sz w:val="24"/>
          <w:szCs w:val="24"/>
        </w:rPr>
        <w:t>Judge:</w:t>
      </w:r>
      <w:r>
        <w:rPr>
          <w:b/>
          <w:sz w:val="24"/>
          <w:szCs w:val="24"/>
        </w:rPr>
        <w:tab/>
      </w:r>
      <w:r w:rsidR="00A63AE1">
        <w:rPr>
          <w:sz w:val="24"/>
          <w:szCs w:val="24"/>
        </w:rPr>
        <w:t>J. Hester</w:t>
      </w:r>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A63AE1">
        <w:rPr>
          <w:sz w:val="24"/>
          <w:szCs w:val="24"/>
        </w:rPr>
        <w:t>1997</w:t>
      </w:r>
    </w:p>
    <w:p w:rsidR="00E16E68" w:rsidRPr="002B67F8" w:rsidRDefault="00E16E68" w:rsidP="00E16E68">
      <w:pPr>
        <w:rPr>
          <w:sz w:val="24"/>
          <w:szCs w:val="24"/>
        </w:rPr>
      </w:pPr>
      <w:r>
        <w:rPr>
          <w:b/>
          <w:sz w:val="24"/>
          <w:szCs w:val="24"/>
        </w:rPr>
        <w:t>Tags:</w:t>
      </w:r>
      <w:r w:rsidR="000933B7">
        <w:rPr>
          <w:sz w:val="24"/>
          <w:szCs w:val="24"/>
        </w:rPr>
        <w:t xml:space="preserve"> </w:t>
      </w:r>
      <w:r w:rsidR="00A63AE1">
        <w:rPr>
          <w:sz w:val="24"/>
          <w:szCs w:val="24"/>
        </w:rPr>
        <w:t>ICC,</w:t>
      </w:r>
      <w:r w:rsidR="002B67F8">
        <w:rPr>
          <w:sz w:val="24"/>
          <w:szCs w:val="24"/>
        </w:rPr>
        <w:t xml:space="preserve"> PFA, </w:t>
      </w:r>
      <w:proofErr w:type="spellStart"/>
      <w:r w:rsidR="002B67F8">
        <w:rPr>
          <w:i/>
          <w:sz w:val="24"/>
          <w:szCs w:val="24"/>
        </w:rPr>
        <w:t>sua</w:t>
      </w:r>
      <w:proofErr w:type="spellEnd"/>
      <w:r w:rsidR="002B67F8">
        <w:rPr>
          <w:i/>
          <w:sz w:val="24"/>
          <w:szCs w:val="24"/>
        </w:rPr>
        <w:t xml:space="preserve"> </w:t>
      </w:r>
      <w:proofErr w:type="spellStart"/>
      <w:r w:rsidR="002B67F8">
        <w:rPr>
          <w:i/>
          <w:sz w:val="24"/>
          <w:szCs w:val="24"/>
        </w:rPr>
        <w:t>sponte</w:t>
      </w:r>
      <w:proofErr w:type="spellEnd"/>
      <w:r w:rsidR="002B67F8">
        <w:rPr>
          <w:sz w:val="24"/>
          <w:szCs w:val="24"/>
        </w:rPr>
        <w:t>, dismissal, evidentiary hearing</w:t>
      </w:r>
      <w:r w:rsidR="000A454B">
        <w:rPr>
          <w:sz w:val="24"/>
          <w:szCs w:val="24"/>
        </w:rPr>
        <w:t>, no admission of abuse, PFA BY CONSENT</w:t>
      </w:r>
    </w:p>
    <w:p w:rsidR="00E16E68" w:rsidRPr="000933B7" w:rsidRDefault="00E16E68" w:rsidP="00E16E68">
      <w:pPr>
        <w:rPr>
          <w:sz w:val="24"/>
          <w:szCs w:val="24"/>
        </w:rPr>
      </w:pPr>
      <w:r>
        <w:rPr>
          <w:b/>
          <w:sz w:val="24"/>
          <w:szCs w:val="24"/>
        </w:rPr>
        <w:t>Facts:</w:t>
      </w:r>
      <w:r w:rsidR="000933B7">
        <w:rPr>
          <w:sz w:val="24"/>
          <w:szCs w:val="24"/>
        </w:rPr>
        <w:t xml:space="preserve"> </w:t>
      </w:r>
      <w:r w:rsidR="00A63AE1">
        <w:rPr>
          <w:sz w:val="24"/>
          <w:szCs w:val="24"/>
        </w:rPr>
        <w:t>Commonwealth appeals CCP order dismissing ICC.  Defendant apparently attempted to force his way into ex-girlfriend’s home and came under no-contact PFA order</w:t>
      </w:r>
      <w:r w:rsidR="002B67F8">
        <w:rPr>
          <w:sz w:val="24"/>
          <w:szCs w:val="24"/>
        </w:rPr>
        <w:t xml:space="preserve"> BY CONSENT</w:t>
      </w:r>
      <w:r w:rsidR="00A63AE1">
        <w:rPr>
          <w:sz w:val="24"/>
          <w:szCs w:val="24"/>
        </w:rPr>
        <w:t>.  Defendant violated this a year later, but trial court did not permit witness to testify and dismissed case.</w:t>
      </w:r>
    </w:p>
    <w:p w:rsidR="0010547E" w:rsidRPr="002B67F8" w:rsidRDefault="00E16E68" w:rsidP="0015215A">
      <w:pPr>
        <w:spacing w:after="0"/>
        <w:rPr>
          <w:sz w:val="24"/>
          <w:szCs w:val="24"/>
        </w:rPr>
      </w:pPr>
      <w:r>
        <w:rPr>
          <w:b/>
          <w:sz w:val="24"/>
          <w:szCs w:val="24"/>
        </w:rPr>
        <w:t>Gravamen/Question(s) at issue:</w:t>
      </w:r>
      <w:r w:rsidR="000933B7">
        <w:rPr>
          <w:sz w:val="24"/>
          <w:szCs w:val="24"/>
        </w:rPr>
        <w:t xml:space="preserve"> </w:t>
      </w:r>
      <w:r w:rsidR="00A63AE1">
        <w:rPr>
          <w:sz w:val="24"/>
          <w:szCs w:val="24"/>
        </w:rPr>
        <w:t xml:space="preserve">Did trial court </w:t>
      </w:r>
      <w:r w:rsidR="002B67F8">
        <w:rPr>
          <w:sz w:val="24"/>
          <w:szCs w:val="24"/>
        </w:rPr>
        <w:t xml:space="preserve">improperly dismiss the proceedings </w:t>
      </w:r>
      <w:proofErr w:type="spellStart"/>
      <w:r w:rsidR="002B67F8">
        <w:rPr>
          <w:i/>
          <w:sz w:val="24"/>
          <w:szCs w:val="24"/>
        </w:rPr>
        <w:t>sua</w:t>
      </w:r>
      <w:proofErr w:type="spellEnd"/>
      <w:r w:rsidR="002B67F8">
        <w:rPr>
          <w:i/>
          <w:sz w:val="24"/>
          <w:szCs w:val="24"/>
        </w:rPr>
        <w:t xml:space="preserve"> </w:t>
      </w:r>
      <w:proofErr w:type="spellStart"/>
      <w:r w:rsidR="002B67F8">
        <w:rPr>
          <w:i/>
          <w:sz w:val="24"/>
          <w:szCs w:val="24"/>
        </w:rPr>
        <w:t>sponte</w:t>
      </w:r>
      <w:proofErr w:type="spellEnd"/>
      <w:r w:rsidR="002B67F8">
        <w:rPr>
          <w:sz w:val="24"/>
          <w:szCs w:val="24"/>
        </w:rPr>
        <w:t>, not honoring the PFA which was entered BY CONSENT because it did not contain admission of abuse?</w:t>
      </w:r>
    </w:p>
    <w:p w:rsidR="0015215A" w:rsidRPr="0010547E" w:rsidRDefault="0015215A" w:rsidP="0015215A">
      <w:pPr>
        <w:spacing w:after="0"/>
        <w:rPr>
          <w:sz w:val="24"/>
          <w:szCs w:val="24"/>
        </w:rPr>
      </w:pPr>
    </w:p>
    <w:p w:rsidR="0015215A" w:rsidRPr="002B67F8" w:rsidRDefault="00E16E68" w:rsidP="00E16E68">
      <w:pPr>
        <w:rPr>
          <w:sz w:val="24"/>
          <w:szCs w:val="24"/>
        </w:rPr>
      </w:pPr>
      <w:r>
        <w:rPr>
          <w:b/>
          <w:sz w:val="24"/>
          <w:szCs w:val="24"/>
        </w:rPr>
        <w:t>Holdings:</w:t>
      </w:r>
      <w:r w:rsidR="000933B7">
        <w:rPr>
          <w:sz w:val="24"/>
          <w:szCs w:val="24"/>
        </w:rPr>
        <w:t xml:space="preserve"> </w:t>
      </w:r>
      <w:r w:rsidR="00A63AE1">
        <w:rPr>
          <w:sz w:val="24"/>
          <w:szCs w:val="24"/>
        </w:rPr>
        <w:t>Superior Court reverses Trial Court’s dismissal of ICC and remands case for further proceedings,</w:t>
      </w:r>
      <w:r w:rsidR="002B67F8">
        <w:rPr>
          <w:sz w:val="24"/>
          <w:szCs w:val="24"/>
        </w:rPr>
        <w:t xml:space="preserve"> because Trial Court acted </w:t>
      </w:r>
      <w:proofErr w:type="spellStart"/>
      <w:r w:rsidR="002B67F8">
        <w:rPr>
          <w:i/>
          <w:sz w:val="24"/>
          <w:szCs w:val="24"/>
        </w:rPr>
        <w:t>sua</w:t>
      </w:r>
      <w:proofErr w:type="spellEnd"/>
      <w:r w:rsidR="002B67F8">
        <w:rPr>
          <w:i/>
          <w:sz w:val="24"/>
          <w:szCs w:val="24"/>
        </w:rPr>
        <w:t xml:space="preserve"> </w:t>
      </w:r>
      <w:proofErr w:type="spellStart"/>
      <w:r w:rsidR="002B67F8">
        <w:rPr>
          <w:i/>
          <w:sz w:val="24"/>
          <w:szCs w:val="24"/>
        </w:rPr>
        <w:t>sponte</w:t>
      </w:r>
      <w:proofErr w:type="spellEnd"/>
      <w:r w:rsidR="002B67F8">
        <w:rPr>
          <w:sz w:val="24"/>
          <w:szCs w:val="24"/>
        </w:rPr>
        <w:t xml:space="preserve"> and impinged upon the role of the litigants.  (IOW, a PFA order that is entered into BY CONSENT, with no finding of abuse, is still enforceable</w:t>
      </w:r>
      <w:r w:rsidR="000A454B">
        <w:rPr>
          <w:sz w:val="24"/>
          <w:szCs w:val="24"/>
        </w:rPr>
        <w:t>, so trial court’s dismissal on those grounds was erroneous</w:t>
      </w:r>
      <w:r w:rsidR="002B67F8">
        <w:rPr>
          <w:sz w:val="24"/>
          <w:szCs w:val="24"/>
        </w:rPr>
        <w:t>.)</w:t>
      </w:r>
    </w:p>
    <w:p w:rsidR="00E16E68" w:rsidRDefault="00E16E68" w:rsidP="00A63AE1">
      <w:pPr>
        <w:spacing w:after="0"/>
        <w:rPr>
          <w:sz w:val="24"/>
          <w:szCs w:val="24"/>
        </w:rPr>
      </w:pPr>
      <w:r>
        <w:rPr>
          <w:b/>
          <w:sz w:val="24"/>
          <w:szCs w:val="24"/>
        </w:rPr>
        <w:t>Rationale:</w:t>
      </w:r>
      <w:r w:rsidR="0010547E">
        <w:rPr>
          <w:sz w:val="24"/>
          <w:szCs w:val="24"/>
        </w:rPr>
        <w:t xml:space="preserve"> </w:t>
      </w:r>
    </w:p>
    <w:p w:rsidR="00A63AE1" w:rsidRPr="002B67F8" w:rsidRDefault="00A63AE1" w:rsidP="00A63AE1">
      <w:pPr>
        <w:pStyle w:val="ListParagraph"/>
        <w:numPr>
          <w:ilvl w:val="0"/>
          <w:numId w:val="4"/>
        </w:numPr>
        <w:spacing w:after="0"/>
        <w:rPr>
          <w:b/>
          <w:sz w:val="24"/>
          <w:szCs w:val="24"/>
        </w:rPr>
      </w:pPr>
      <w:r>
        <w:rPr>
          <w:color w:val="171E22"/>
        </w:rPr>
        <w:t>“</w:t>
      </w:r>
      <w:r>
        <w:rPr>
          <w:rStyle w:val="text"/>
          <w:color w:val="171E22"/>
        </w:rPr>
        <w:t xml:space="preserve">Preliminarily, we note that the trial court impinged upon the role of the litigants by relying upon issues raised </w:t>
      </w:r>
      <w:proofErr w:type="spellStart"/>
      <w:r>
        <w:rPr>
          <w:rStyle w:val="text"/>
          <w:color w:val="171E22"/>
        </w:rPr>
        <w:t>sua</w:t>
      </w:r>
      <w:proofErr w:type="spellEnd"/>
      <w:r>
        <w:rPr>
          <w:rStyle w:val="text"/>
          <w:color w:val="171E22"/>
        </w:rPr>
        <w:t xml:space="preserve"> </w:t>
      </w:r>
      <w:proofErr w:type="spellStart"/>
      <w:r>
        <w:rPr>
          <w:rStyle w:val="text"/>
          <w:color w:val="171E22"/>
        </w:rPr>
        <w:t>sponte</w:t>
      </w:r>
      <w:proofErr w:type="spellEnd"/>
      <w:r>
        <w:rPr>
          <w:rStyle w:val="text"/>
          <w:color w:val="171E22"/>
        </w:rPr>
        <w:t xml:space="preserve"> to dismiss the proceedings</w:t>
      </w:r>
      <w:proofErr w:type="gramStart"/>
      <w:r>
        <w:rPr>
          <w:rStyle w:val="text"/>
          <w:color w:val="171E22"/>
        </w:rPr>
        <w:t>.</w:t>
      </w:r>
      <w:r>
        <w:rPr>
          <w:rStyle w:val="apple-converted-space"/>
          <w:color w:val="171E22"/>
        </w:rPr>
        <w:t> </w:t>
      </w:r>
      <w:r>
        <w:rPr>
          <w:color w:val="171E22"/>
        </w:rPr>
        <w:t>”</w:t>
      </w:r>
      <w:proofErr w:type="gramEnd"/>
      <w:r>
        <w:rPr>
          <w:rStyle w:val="apple-converted-space"/>
          <w:color w:val="171E22"/>
        </w:rPr>
        <w:t> </w:t>
      </w:r>
      <w:r>
        <w:rPr>
          <w:i/>
          <w:iCs/>
          <w:color w:val="171E22"/>
        </w:rPr>
        <w:t>Com. v. Nelson</w:t>
      </w:r>
      <w:r>
        <w:rPr>
          <w:color w:val="171E22"/>
        </w:rPr>
        <w:t>, 456 Pa. Super. 349, 353 (Pa. Super. Ct. 1997)</w:t>
      </w:r>
    </w:p>
    <w:p w:rsidR="002B67F8" w:rsidRPr="002B67F8" w:rsidRDefault="002B67F8" w:rsidP="002B67F8">
      <w:pPr>
        <w:pStyle w:val="ListParagraph"/>
        <w:spacing w:after="0"/>
        <w:rPr>
          <w:b/>
          <w:sz w:val="24"/>
          <w:szCs w:val="24"/>
        </w:rPr>
      </w:pPr>
    </w:p>
    <w:p w:rsidR="002B67F8" w:rsidRPr="000A454B" w:rsidRDefault="002B67F8" w:rsidP="00A63AE1">
      <w:pPr>
        <w:pStyle w:val="ListParagraph"/>
        <w:numPr>
          <w:ilvl w:val="0"/>
          <w:numId w:val="4"/>
        </w:numPr>
        <w:spacing w:after="0"/>
        <w:rPr>
          <w:b/>
          <w:sz w:val="24"/>
          <w:szCs w:val="24"/>
        </w:rPr>
      </w:pPr>
      <w:r>
        <w:rPr>
          <w:color w:val="171E22"/>
        </w:rPr>
        <w:t>Re. Act 23 on enforceability:  “Neither those subsections nor any other provision of the PFAA specifically indicates that consent-based agreements must be accompanied by admissions of abuse.”</w:t>
      </w:r>
      <w:r>
        <w:rPr>
          <w:rStyle w:val="apple-converted-space"/>
          <w:color w:val="171E22"/>
        </w:rPr>
        <w:t> </w:t>
      </w:r>
      <w:r>
        <w:rPr>
          <w:i/>
          <w:iCs/>
          <w:color w:val="171E22"/>
        </w:rPr>
        <w:t>Com. v. Nelson</w:t>
      </w:r>
      <w:r>
        <w:rPr>
          <w:color w:val="171E22"/>
        </w:rPr>
        <w:t>, 456 Pa. Super. 349, 354 (Pa. Super. Ct. 1997)</w:t>
      </w:r>
    </w:p>
    <w:p w:rsidR="000A454B" w:rsidRPr="000A454B" w:rsidRDefault="000A454B" w:rsidP="000A454B">
      <w:pPr>
        <w:pStyle w:val="ListParagraph"/>
        <w:rPr>
          <w:b/>
          <w:sz w:val="24"/>
          <w:szCs w:val="24"/>
        </w:rPr>
      </w:pPr>
    </w:p>
    <w:p w:rsidR="000A454B" w:rsidRPr="00A63AE1" w:rsidRDefault="000A454B" w:rsidP="00A63AE1">
      <w:pPr>
        <w:pStyle w:val="ListParagraph"/>
        <w:numPr>
          <w:ilvl w:val="0"/>
          <w:numId w:val="4"/>
        </w:numPr>
        <w:spacing w:after="0"/>
        <w:rPr>
          <w:b/>
          <w:sz w:val="24"/>
          <w:szCs w:val="24"/>
        </w:rPr>
      </w:pPr>
      <w:r>
        <w:rPr>
          <w:color w:val="171E22"/>
        </w:rPr>
        <w:t>“</w:t>
      </w:r>
      <w:proofErr w:type="gramStart"/>
      <w:r>
        <w:rPr>
          <w:color w:val="171E22"/>
        </w:rPr>
        <w:t>the</w:t>
      </w:r>
      <w:proofErr w:type="gramEnd"/>
      <w:r>
        <w:rPr>
          <w:color w:val="171E22"/>
        </w:rPr>
        <w:t xml:space="preserve"> plain and unambiguous language of the PFAA merely indicates that it authorizes and enforces consent-based protective orders.”</w:t>
      </w:r>
      <w:r>
        <w:rPr>
          <w:rStyle w:val="apple-converted-space"/>
          <w:color w:val="171E22"/>
        </w:rPr>
        <w:t> </w:t>
      </w:r>
      <w:r>
        <w:rPr>
          <w:i/>
          <w:iCs/>
          <w:color w:val="171E22"/>
        </w:rPr>
        <w:t>Com. v. Nelson</w:t>
      </w:r>
      <w:r>
        <w:rPr>
          <w:color w:val="171E22"/>
        </w:rPr>
        <w:t>, 456 Pa. Super. 349, 354 (Pa. Super. Ct. 1997)</w:t>
      </w:r>
    </w:p>
    <w:p w:rsidR="00A63AE1" w:rsidRPr="00A63AE1" w:rsidRDefault="00A63AE1" w:rsidP="00A63AE1">
      <w:pPr>
        <w:pStyle w:val="ListParagraph"/>
        <w:spacing w:after="0"/>
        <w:rPr>
          <w:b/>
          <w:sz w:val="24"/>
          <w:szCs w:val="24"/>
        </w:rPr>
      </w:pPr>
    </w:p>
    <w:p w:rsidR="0015215A" w:rsidRDefault="0015215A" w:rsidP="00A63AE1">
      <w:pPr>
        <w:spacing w:after="0"/>
        <w:rPr>
          <w:sz w:val="24"/>
          <w:szCs w:val="24"/>
        </w:rPr>
      </w:pPr>
      <w:r>
        <w:rPr>
          <w:b/>
          <w:sz w:val="24"/>
          <w:szCs w:val="24"/>
        </w:rPr>
        <w:t>Trial Court Input:</w:t>
      </w:r>
    </w:p>
    <w:p w:rsidR="00A63AE1" w:rsidRPr="00A63AE1" w:rsidRDefault="00A63AE1" w:rsidP="00A63AE1">
      <w:pPr>
        <w:pStyle w:val="blockquote"/>
        <w:numPr>
          <w:ilvl w:val="0"/>
          <w:numId w:val="3"/>
        </w:numPr>
        <w:spacing w:before="0" w:beforeAutospacing="0" w:after="150" w:afterAutospacing="0"/>
        <w:rPr>
          <w:color w:val="171E22"/>
        </w:rPr>
      </w:pPr>
      <w:r>
        <w:rPr>
          <w:color w:val="171E22"/>
        </w:rPr>
        <w:t xml:space="preserve">“Our examination of the record reveals that the Commonwealth was not afforded an opportunity at trial to make a complete evidentiary presentation and that the court made no finding on the issue of guilt at the time. To the contrary, it demonstrates that the court interrupted the Commonwealth's presentation before the preliminary questioning of its initial witness was completed, initiated a discussion relating to matters forming the basis of the prosecution, and ordered the dismissal of the contempt charge.” </w:t>
      </w:r>
      <w:r w:rsidRPr="00A63AE1">
        <w:rPr>
          <w:i/>
          <w:iCs/>
          <w:color w:val="171E22"/>
        </w:rPr>
        <w:t>Com. v. Nelson</w:t>
      </w:r>
      <w:r w:rsidRPr="00A63AE1">
        <w:rPr>
          <w:color w:val="171E22"/>
        </w:rPr>
        <w:t xml:space="preserve">, 456 Pa. Super. </w:t>
      </w:r>
      <w:proofErr w:type="gramStart"/>
      <w:r w:rsidRPr="00A63AE1">
        <w:rPr>
          <w:color w:val="171E22"/>
        </w:rPr>
        <w:t>349, 352 n.1 (Pa. Super.</w:t>
      </w:r>
      <w:proofErr w:type="gramEnd"/>
      <w:r w:rsidRPr="00A63AE1">
        <w:rPr>
          <w:color w:val="171E22"/>
        </w:rPr>
        <w:t xml:space="preserve"> Ct. 1997)</w:t>
      </w:r>
    </w:p>
    <w:p w:rsidR="00A63AE1" w:rsidRPr="000A454B" w:rsidRDefault="00A63AE1" w:rsidP="00A63AE1">
      <w:pPr>
        <w:pStyle w:val="ListParagraph"/>
        <w:numPr>
          <w:ilvl w:val="0"/>
          <w:numId w:val="3"/>
        </w:numPr>
        <w:spacing w:after="0"/>
        <w:rPr>
          <w:sz w:val="24"/>
          <w:szCs w:val="24"/>
        </w:rPr>
      </w:pPr>
      <w:r>
        <w:rPr>
          <w:color w:val="171E22"/>
        </w:rPr>
        <w:t xml:space="preserve">“At the subsequent contempt hearing, the trial court interrupted the testimony of Ms. Butts, questioned the parties regarding the basis of the consent order, and indicated </w:t>
      </w:r>
      <w:proofErr w:type="spellStart"/>
      <w:r>
        <w:rPr>
          <w:color w:val="171E22"/>
        </w:rPr>
        <w:t>sua</w:t>
      </w:r>
      <w:proofErr w:type="spellEnd"/>
      <w:r>
        <w:rPr>
          <w:color w:val="171E22"/>
        </w:rPr>
        <w:t xml:space="preserve"> </w:t>
      </w:r>
      <w:proofErr w:type="spellStart"/>
      <w:r>
        <w:rPr>
          <w:color w:val="171E22"/>
        </w:rPr>
        <w:t>sponte</w:t>
      </w:r>
      <w:proofErr w:type="spellEnd"/>
      <w:r>
        <w:rPr>
          <w:color w:val="171E22"/>
        </w:rPr>
        <w:t xml:space="preserve"> that the order was improper since it was unsupported by an</w:t>
      </w:r>
      <w:r>
        <w:rPr>
          <w:rStyle w:val="apple-converted-space"/>
          <w:color w:val="171E22"/>
        </w:rPr>
        <w:t> </w:t>
      </w:r>
      <w:r>
        <w:rPr>
          <w:color w:val="171E22"/>
        </w:rPr>
        <w:t>admission of abuse.”</w:t>
      </w:r>
      <w:r>
        <w:rPr>
          <w:rStyle w:val="apple-converted-space"/>
          <w:color w:val="171E22"/>
        </w:rPr>
        <w:t> </w:t>
      </w:r>
      <w:r>
        <w:rPr>
          <w:i/>
          <w:iCs/>
          <w:color w:val="171E22"/>
        </w:rPr>
        <w:t>Com. v. Nelson</w:t>
      </w:r>
      <w:r>
        <w:rPr>
          <w:color w:val="171E22"/>
        </w:rPr>
        <w:t>, 456 Pa. Super. 349, 352-53 (Pa. Super. Ct. 1997)</w:t>
      </w:r>
    </w:p>
    <w:p w:rsidR="000A454B" w:rsidRPr="000A454B" w:rsidRDefault="000A454B" w:rsidP="00A63AE1">
      <w:pPr>
        <w:pStyle w:val="ListParagraph"/>
        <w:numPr>
          <w:ilvl w:val="0"/>
          <w:numId w:val="3"/>
        </w:numPr>
        <w:spacing w:after="0"/>
        <w:rPr>
          <w:sz w:val="24"/>
          <w:szCs w:val="24"/>
        </w:rPr>
      </w:pPr>
      <w:r>
        <w:rPr>
          <w:color w:val="171E22"/>
        </w:rPr>
        <w:lastRenderedPageBreak/>
        <w:t>Trial court also excused itself by stating that a form given to the defendant said a consent order could not be used against defendant in any other proceeding with plaintiff.  But an ICC is criminal offense, so it wouldn’t be the plaintiff who would bring it but the Commonwealth.  Trial court was not really upholding the PFA order.</w:t>
      </w:r>
    </w:p>
    <w:p w:rsidR="000A454B" w:rsidRPr="00A63AE1" w:rsidRDefault="000A454B" w:rsidP="000A454B">
      <w:pPr>
        <w:pStyle w:val="ListParagraph"/>
        <w:spacing w:after="0"/>
        <w:rPr>
          <w:sz w:val="24"/>
          <w:szCs w:val="24"/>
        </w:rPr>
      </w:pPr>
    </w:p>
    <w:p w:rsidR="0015215A" w:rsidRDefault="0015215A" w:rsidP="002B67F8">
      <w:pPr>
        <w:spacing w:after="0"/>
        <w:rPr>
          <w:b/>
          <w:sz w:val="24"/>
          <w:szCs w:val="24"/>
        </w:rPr>
      </w:pPr>
      <w:r>
        <w:rPr>
          <w:b/>
          <w:sz w:val="24"/>
          <w:szCs w:val="24"/>
        </w:rPr>
        <w:t>Dicta:</w:t>
      </w:r>
    </w:p>
    <w:p w:rsidR="002B67F8" w:rsidRPr="002B67F8" w:rsidRDefault="002B67F8" w:rsidP="002B67F8">
      <w:pPr>
        <w:pStyle w:val="ListParagraph"/>
        <w:numPr>
          <w:ilvl w:val="0"/>
          <w:numId w:val="3"/>
        </w:numPr>
        <w:spacing w:after="0"/>
        <w:rPr>
          <w:sz w:val="24"/>
          <w:szCs w:val="24"/>
        </w:rPr>
      </w:pPr>
      <w:r w:rsidRPr="000A454B">
        <w:rPr>
          <w:b/>
          <w:sz w:val="24"/>
          <w:szCs w:val="24"/>
        </w:rPr>
        <w:t>Matter of first impression:</w:t>
      </w:r>
      <w:r>
        <w:rPr>
          <w:sz w:val="24"/>
          <w:szCs w:val="24"/>
        </w:rPr>
        <w:t xml:space="preserve">  </w:t>
      </w:r>
      <w:r>
        <w:rPr>
          <w:color w:val="171E22"/>
        </w:rPr>
        <w:t>“the Commonwealth contends that consent-based protective orders unaccompanied by admissions of abuse are both authorized and enforceable under the PFAA.”</w:t>
      </w:r>
      <w:r>
        <w:rPr>
          <w:rStyle w:val="apple-converted-space"/>
          <w:color w:val="171E22"/>
        </w:rPr>
        <w:t> </w:t>
      </w:r>
      <w:r>
        <w:rPr>
          <w:i/>
          <w:iCs/>
          <w:color w:val="171E22"/>
        </w:rPr>
        <w:t>Com. v. Nelson</w:t>
      </w:r>
      <w:r>
        <w:rPr>
          <w:color w:val="171E22"/>
        </w:rPr>
        <w:t>, 456 Pa. Super. 349, 354 (Pa. Super. Ct. 1997)</w:t>
      </w:r>
    </w:p>
    <w:p w:rsidR="002B67F8" w:rsidRPr="002B67F8" w:rsidRDefault="002B67F8" w:rsidP="002B67F8">
      <w:pPr>
        <w:pStyle w:val="ListParagraph"/>
        <w:spacing w:after="0"/>
        <w:rPr>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A63AE1" w:rsidRPr="002B67F8" w:rsidRDefault="00A63AE1" w:rsidP="00A63AE1">
      <w:pPr>
        <w:pStyle w:val="ListParagraph"/>
        <w:numPr>
          <w:ilvl w:val="0"/>
          <w:numId w:val="3"/>
        </w:numPr>
        <w:spacing w:after="0"/>
        <w:rPr>
          <w:b/>
          <w:sz w:val="24"/>
          <w:szCs w:val="24"/>
        </w:rPr>
      </w:pPr>
      <w:r>
        <w:rPr>
          <w:b/>
          <w:i/>
          <w:sz w:val="24"/>
          <w:szCs w:val="24"/>
        </w:rPr>
        <w:t xml:space="preserve">Comm. v. Wallace </w:t>
      </w:r>
      <w:r>
        <w:rPr>
          <w:sz w:val="24"/>
          <w:szCs w:val="24"/>
        </w:rPr>
        <w:t>(1996): trial court ruling of “not guilty” due to the failure of complainant to appear amounts to a dismissal of the case.</w:t>
      </w:r>
    </w:p>
    <w:p w:rsidR="002B67F8" w:rsidRPr="00A63AE1" w:rsidRDefault="002B67F8" w:rsidP="00A63AE1">
      <w:pPr>
        <w:pStyle w:val="ListParagraph"/>
        <w:numPr>
          <w:ilvl w:val="0"/>
          <w:numId w:val="3"/>
        </w:numPr>
        <w:spacing w:after="0"/>
        <w:rPr>
          <w:b/>
          <w:sz w:val="24"/>
          <w:szCs w:val="24"/>
        </w:rPr>
      </w:pPr>
      <w:r>
        <w:rPr>
          <w:b/>
          <w:sz w:val="24"/>
          <w:szCs w:val="24"/>
        </w:rPr>
        <w:t>23 P.S. Section 6108(a):</w:t>
      </w:r>
      <w:r>
        <w:rPr>
          <w:sz w:val="24"/>
          <w:szCs w:val="24"/>
        </w:rPr>
        <w:t xml:space="preserve"> “the court may grant any protection order or approve any consent agreement to bring about the cessation of abuse.”  Police can be called for an ICC even if it was entered BY CONSENT</w:t>
      </w:r>
      <w:r w:rsidR="000A454B">
        <w:rPr>
          <w:sz w:val="24"/>
          <w:szCs w:val="24"/>
        </w:rPr>
        <w:t xml:space="preserve"> without admission of abuse</w:t>
      </w:r>
      <w:r>
        <w:rPr>
          <w:sz w:val="24"/>
          <w:szCs w:val="24"/>
        </w:rPr>
        <w:t>.</w:t>
      </w:r>
    </w:p>
    <w:p w:rsidR="0015215A" w:rsidRDefault="0015215A" w:rsidP="0010547E">
      <w:pPr>
        <w:spacing w:after="0"/>
        <w:rPr>
          <w:b/>
          <w:sz w:val="24"/>
          <w:szCs w:val="24"/>
        </w:rPr>
      </w:pPr>
    </w:p>
    <w:p w:rsidR="0015215A" w:rsidRDefault="0015215A" w:rsidP="0010547E">
      <w:pPr>
        <w:spacing w:after="0"/>
        <w:rPr>
          <w:b/>
          <w:sz w:val="24"/>
          <w:szCs w:val="24"/>
        </w:rPr>
      </w:pPr>
      <w:r>
        <w:rPr>
          <w:b/>
          <w:sz w:val="24"/>
          <w:szCs w:val="24"/>
        </w:rPr>
        <w:t>Commentary:</w:t>
      </w:r>
    </w:p>
    <w:p w:rsidR="002B67F8" w:rsidRPr="002B67F8" w:rsidRDefault="002B67F8" w:rsidP="002B67F8">
      <w:pPr>
        <w:pStyle w:val="ListParagraph"/>
        <w:numPr>
          <w:ilvl w:val="0"/>
          <w:numId w:val="3"/>
        </w:numPr>
        <w:spacing w:after="0"/>
        <w:rPr>
          <w:sz w:val="24"/>
          <w:szCs w:val="24"/>
        </w:rPr>
      </w:pPr>
      <w:r w:rsidRPr="002B67F8">
        <w:rPr>
          <w:b/>
          <w:sz w:val="24"/>
          <w:szCs w:val="24"/>
        </w:rPr>
        <w:t>Coordinate jurisdiction rule:</w:t>
      </w:r>
      <w:r>
        <w:rPr>
          <w:sz w:val="24"/>
          <w:szCs w:val="24"/>
        </w:rPr>
        <w:t xml:space="preserve">  </w:t>
      </w:r>
      <w:r>
        <w:rPr>
          <w:color w:val="171E22"/>
        </w:rPr>
        <w:t>“a judge of coordinate jurisdiction sitting in the same case should not overrule a colleague's decision in the absence of extraordinary circumstances such as the determination that the prior decision clearly was erroneous and would create manifest injustice if followed.”</w:t>
      </w:r>
      <w:r>
        <w:rPr>
          <w:rStyle w:val="apple-converted-space"/>
          <w:color w:val="171E22"/>
        </w:rPr>
        <w:t> </w:t>
      </w:r>
      <w:r>
        <w:rPr>
          <w:i/>
          <w:iCs/>
          <w:color w:val="171E22"/>
        </w:rPr>
        <w:t>Com. v. Nelson</w:t>
      </w:r>
      <w:r>
        <w:rPr>
          <w:color w:val="171E22"/>
        </w:rPr>
        <w:t>, 456 Pa. Super. 349, 353 (Pa. Super. Ct. 1997</w:t>
      </w:r>
      <w:proofErr w:type="gramStart"/>
      <w:r>
        <w:rPr>
          <w:color w:val="171E22"/>
        </w:rPr>
        <w:t xml:space="preserve">)  </w:t>
      </w:r>
      <w:r>
        <w:rPr>
          <w:i/>
          <w:color w:val="171E22"/>
        </w:rPr>
        <w:t>(</w:t>
      </w:r>
      <w:proofErr w:type="gramEnd"/>
      <w:r>
        <w:rPr>
          <w:i/>
          <w:color w:val="171E22"/>
        </w:rPr>
        <w:t>Relevant because Comm. suggested that a violation of this rule had happened; Super. Court did not agree.)</w:t>
      </w:r>
    </w:p>
    <w:sectPr w:rsidR="002B67F8" w:rsidRPr="002B67F8"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2649" w:rsidRDefault="00312649" w:rsidP="00E16E68">
      <w:pPr>
        <w:spacing w:after="0" w:line="240" w:lineRule="auto"/>
      </w:pPr>
      <w:r>
        <w:separator/>
      </w:r>
    </w:p>
  </w:endnote>
  <w:endnote w:type="continuationSeparator" w:id="0">
    <w:p w:rsidR="00312649" w:rsidRDefault="00312649"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2649" w:rsidRDefault="00312649" w:rsidP="00E16E68">
      <w:pPr>
        <w:spacing w:after="0" w:line="240" w:lineRule="auto"/>
      </w:pPr>
      <w:r>
        <w:separator/>
      </w:r>
    </w:p>
  </w:footnote>
  <w:footnote w:type="continuationSeparator" w:id="0">
    <w:p w:rsidR="00312649" w:rsidRDefault="00312649"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A63AE1">
      <w:t>1997</w:t>
    </w:r>
    <w:r w:rsidR="00E16E68">
      <w:tab/>
    </w:r>
    <w:r w:rsidR="00A63AE1">
      <w:t>Comm. v. Nelson</w:t>
    </w:r>
  </w:p>
  <w:p w:rsidR="00F95A0E" w:rsidRDefault="00F95A0E" w:rsidP="00F95A0E">
    <w:pPr>
      <w:pStyle w:val="Header"/>
      <w:jc w:val="right"/>
    </w:pPr>
    <w:r>
      <w:tab/>
    </w:r>
    <w:r>
      <w:tab/>
    </w:r>
    <w:r w:rsidR="000A454B">
      <w:t>ENFORCEABILITY</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FB47B7"/>
    <w:multiLevelType w:val="hybridMultilevel"/>
    <w:tmpl w:val="42D428CE"/>
    <w:lvl w:ilvl="0" w:tplc="A168A7E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B181F9C"/>
    <w:multiLevelType w:val="hybridMultilevel"/>
    <w:tmpl w:val="9F90CDAC"/>
    <w:lvl w:ilvl="0" w:tplc="5526FEB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0A454B"/>
    <w:rsid w:val="0010547E"/>
    <w:rsid w:val="00144D3B"/>
    <w:rsid w:val="0015215A"/>
    <w:rsid w:val="0016476D"/>
    <w:rsid w:val="002B67F8"/>
    <w:rsid w:val="00312649"/>
    <w:rsid w:val="005F2C53"/>
    <w:rsid w:val="00692188"/>
    <w:rsid w:val="006A18CC"/>
    <w:rsid w:val="007B337C"/>
    <w:rsid w:val="009645CA"/>
    <w:rsid w:val="00A20DAD"/>
    <w:rsid w:val="00A41926"/>
    <w:rsid w:val="00A56A0E"/>
    <w:rsid w:val="00A63AE1"/>
    <w:rsid w:val="00AA40E8"/>
    <w:rsid w:val="00C5621B"/>
    <w:rsid w:val="00D51C93"/>
    <w:rsid w:val="00E16E68"/>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 w:type="paragraph" w:customStyle="1" w:styleId="blockquote">
    <w:name w:val="blockquote"/>
    <w:basedOn w:val="Normal"/>
    <w:rsid w:val="00A63AE1"/>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63AE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63AE1"/>
  </w:style>
  <w:style w:type="character" w:customStyle="1" w:styleId="text">
    <w:name w:val="text"/>
    <w:basedOn w:val="DefaultParagraphFont"/>
    <w:rsid w:val="00A63AE1"/>
  </w:style>
</w:styles>
</file>

<file path=word/webSettings.xml><?xml version="1.0" encoding="utf-8"?>
<w:webSettings xmlns:r="http://schemas.openxmlformats.org/officeDocument/2006/relationships" xmlns:w="http://schemas.openxmlformats.org/wordprocessingml/2006/main">
  <w:divs>
    <w:div w:id="827787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614</Words>
  <Characters>3504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cp:lastPrinted>2016-10-19T14:31:00Z</cp:lastPrinted>
  <dcterms:created xsi:type="dcterms:W3CDTF">2017-02-13T14:40:00Z</dcterms:created>
  <dcterms:modified xsi:type="dcterms:W3CDTF">2017-02-13T14:40:00Z</dcterms:modified>
</cp:coreProperties>
</file>