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55000B">
        <w:rPr>
          <w:sz w:val="24"/>
          <w:szCs w:val="24"/>
        </w:rPr>
        <w:t>Commonwealth of PA v. David Snell, Appellant</w:t>
      </w:r>
    </w:p>
    <w:p w:rsidR="00E16E68" w:rsidRPr="000933B7" w:rsidRDefault="00E16E68" w:rsidP="00E16E68">
      <w:pPr>
        <w:rPr>
          <w:sz w:val="24"/>
          <w:szCs w:val="24"/>
        </w:rPr>
      </w:pPr>
      <w:r>
        <w:rPr>
          <w:b/>
          <w:sz w:val="24"/>
          <w:szCs w:val="24"/>
        </w:rPr>
        <w:t>Judge:</w:t>
      </w:r>
      <w:r>
        <w:rPr>
          <w:b/>
          <w:sz w:val="24"/>
          <w:szCs w:val="24"/>
        </w:rPr>
        <w:tab/>
      </w:r>
      <w:r w:rsidR="0055000B">
        <w:rPr>
          <w:sz w:val="24"/>
          <w:szCs w:val="24"/>
        </w:rPr>
        <w:t>J. Stevens</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55000B">
        <w:rPr>
          <w:sz w:val="24"/>
          <w:szCs w:val="24"/>
        </w:rPr>
        <w:t>1999</w:t>
      </w:r>
    </w:p>
    <w:p w:rsidR="00E16E68" w:rsidRPr="000933B7" w:rsidRDefault="00E16E68" w:rsidP="00E16E68">
      <w:pPr>
        <w:rPr>
          <w:sz w:val="24"/>
          <w:szCs w:val="24"/>
        </w:rPr>
      </w:pPr>
      <w:r>
        <w:rPr>
          <w:b/>
          <w:sz w:val="24"/>
          <w:szCs w:val="24"/>
        </w:rPr>
        <w:t>Tags:</w:t>
      </w:r>
      <w:r w:rsidR="000933B7">
        <w:rPr>
          <w:sz w:val="24"/>
          <w:szCs w:val="24"/>
        </w:rPr>
        <w:t xml:space="preserve"> </w:t>
      </w:r>
      <w:r w:rsidR="00343411">
        <w:rPr>
          <w:sz w:val="24"/>
          <w:szCs w:val="24"/>
        </w:rPr>
        <w:t>PFA, ICC, extension, due process, evidence</w:t>
      </w:r>
    </w:p>
    <w:p w:rsidR="00E16E68" w:rsidRPr="000933B7" w:rsidRDefault="00E16E68" w:rsidP="00E16E68">
      <w:pPr>
        <w:rPr>
          <w:sz w:val="24"/>
          <w:szCs w:val="24"/>
        </w:rPr>
      </w:pPr>
      <w:r>
        <w:rPr>
          <w:b/>
          <w:sz w:val="24"/>
          <w:szCs w:val="24"/>
        </w:rPr>
        <w:t>Facts:</w:t>
      </w:r>
      <w:r w:rsidR="000933B7">
        <w:rPr>
          <w:sz w:val="24"/>
          <w:szCs w:val="24"/>
        </w:rPr>
        <w:t xml:space="preserve"> </w:t>
      </w:r>
      <w:r w:rsidR="0055000B">
        <w:rPr>
          <w:sz w:val="24"/>
          <w:szCs w:val="24"/>
        </w:rPr>
        <w:t>Defendant was under no-contact PFA for one year, but violated this first by breaking into wife’s residence, then initiating a heated argument with wife at a family function, during which he refused to return their child to her.</w:t>
      </w:r>
    </w:p>
    <w:p w:rsidR="0055000B" w:rsidRDefault="00E16E68" w:rsidP="0015215A">
      <w:pPr>
        <w:spacing w:after="0"/>
        <w:rPr>
          <w:sz w:val="24"/>
          <w:szCs w:val="24"/>
        </w:rPr>
      </w:pPr>
      <w:r>
        <w:rPr>
          <w:b/>
          <w:sz w:val="24"/>
          <w:szCs w:val="24"/>
        </w:rPr>
        <w:t>Gravamen/Question(s) at issue:</w:t>
      </w:r>
      <w:r w:rsidR="000933B7">
        <w:rPr>
          <w:sz w:val="24"/>
          <w:szCs w:val="24"/>
        </w:rPr>
        <w:t xml:space="preserve"> </w:t>
      </w:r>
    </w:p>
    <w:p w:rsidR="0010547E" w:rsidRDefault="0055000B" w:rsidP="0055000B">
      <w:pPr>
        <w:pStyle w:val="ListParagraph"/>
        <w:numPr>
          <w:ilvl w:val="0"/>
          <w:numId w:val="3"/>
        </w:numPr>
        <w:spacing w:after="0"/>
        <w:rPr>
          <w:sz w:val="24"/>
          <w:szCs w:val="24"/>
        </w:rPr>
      </w:pPr>
      <w:r w:rsidRPr="0055000B">
        <w:rPr>
          <w:sz w:val="24"/>
          <w:szCs w:val="24"/>
        </w:rPr>
        <w:t xml:space="preserve">Did York County CCP </w:t>
      </w:r>
      <w:r w:rsidR="008B2A57">
        <w:rPr>
          <w:sz w:val="24"/>
          <w:szCs w:val="24"/>
        </w:rPr>
        <w:t>abuse its discretion</w:t>
      </w:r>
      <w:r w:rsidRPr="0055000B">
        <w:rPr>
          <w:sz w:val="24"/>
          <w:szCs w:val="24"/>
        </w:rPr>
        <w:t xml:space="preserve"> in extending PFA following defendant’s conviction for ICC?</w:t>
      </w:r>
      <w:r w:rsidR="008B2A57">
        <w:rPr>
          <w:sz w:val="24"/>
          <w:szCs w:val="24"/>
        </w:rPr>
        <w:t xml:space="preserve">  (IOW, shouldn’t that have happened at a separate civil trial?)</w:t>
      </w:r>
    </w:p>
    <w:p w:rsidR="0055000B" w:rsidRDefault="0055000B" w:rsidP="0055000B">
      <w:pPr>
        <w:pStyle w:val="ListParagraph"/>
        <w:numPr>
          <w:ilvl w:val="0"/>
          <w:numId w:val="3"/>
        </w:numPr>
        <w:spacing w:after="0"/>
        <w:rPr>
          <w:sz w:val="24"/>
          <w:szCs w:val="24"/>
        </w:rPr>
      </w:pPr>
      <w:r>
        <w:rPr>
          <w:sz w:val="24"/>
          <w:szCs w:val="24"/>
        </w:rPr>
        <w:t>Did trial court err in introducing at trial evidence not in original criminal complaint?</w:t>
      </w:r>
    </w:p>
    <w:p w:rsidR="00343411" w:rsidRDefault="00343411" w:rsidP="0055000B">
      <w:pPr>
        <w:pStyle w:val="ListParagraph"/>
        <w:numPr>
          <w:ilvl w:val="0"/>
          <w:numId w:val="3"/>
        </w:numPr>
        <w:spacing w:after="0"/>
        <w:rPr>
          <w:sz w:val="24"/>
          <w:szCs w:val="24"/>
        </w:rPr>
      </w:pPr>
      <w:r>
        <w:rPr>
          <w:sz w:val="24"/>
          <w:szCs w:val="24"/>
        </w:rPr>
        <w:t>Were defendant’s due process rights violated when PFA order was extended?</w:t>
      </w:r>
    </w:p>
    <w:p w:rsidR="00343411" w:rsidRPr="0055000B" w:rsidRDefault="00343411" w:rsidP="0055000B">
      <w:pPr>
        <w:pStyle w:val="ListParagraph"/>
        <w:numPr>
          <w:ilvl w:val="0"/>
          <w:numId w:val="3"/>
        </w:numPr>
        <w:spacing w:after="0"/>
        <w:rPr>
          <w:sz w:val="24"/>
          <w:szCs w:val="24"/>
        </w:rPr>
      </w:pPr>
      <w:r>
        <w:rPr>
          <w:sz w:val="24"/>
          <w:szCs w:val="24"/>
        </w:rPr>
        <w:t>Was evidence insufficient to support extension of PFA order?</w:t>
      </w:r>
    </w:p>
    <w:p w:rsidR="0015215A" w:rsidRPr="0010547E" w:rsidRDefault="0015215A" w:rsidP="0015215A">
      <w:pPr>
        <w:spacing w:after="0"/>
        <w:rPr>
          <w:sz w:val="24"/>
          <w:szCs w:val="24"/>
        </w:rPr>
      </w:pPr>
    </w:p>
    <w:p w:rsidR="008B2A57" w:rsidRDefault="00E16E68" w:rsidP="0055000B">
      <w:pPr>
        <w:spacing w:after="0"/>
        <w:rPr>
          <w:sz w:val="24"/>
          <w:szCs w:val="24"/>
        </w:rPr>
      </w:pPr>
      <w:r>
        <w:rPr>
          <w:b/>
          <w:sz w:val="24"/>
          <w:szCs w:val="24"/>
        </w:rPr>
        <w:t>Holdings:</w:t>
      </w:r>
      <w:r w:rsidR="000933B7">
        <w:rPr>
          <w:sz w:val="24"/>
          <w:szCs w:val="24"/>
        </w:rPr>
        <w:t xml:space="preserve"> </w:t>
      </w:r>
    </w:p>
    <w:p w:rsidR="0015215A" w:rsidRPr="008B2A57" w:rsidRDefault="0055000B" w:rsidP="008B2A57">
      <w:pPr>
        <w:pStyle w:val="ListParagraph"/>
        <w:numPr>
          <w:ilvl w:val="0"/>
          <w:numId w:val="4"/>
        </w:numPr>
        <w:spacing w:after="0"/>
        <w:rPr>
          <w:sz w:val="24"/>
          <w:szCs w:val="24"/>
        </w:rPr>
      </w:pPr>
      <w:r w:rsidRPr="008B2A57">
        <w:rPr>
          <w:sz w:val="24"/>
          <w:szCs w:val="24"/>
        </w:rPr>
        <w:t xml:space="preserve">Superior Court affirms Trial Court’s decision to extend PFA after ICC.  </w:t>
      </w:r>
    </w:p>
    <w:p w:rsidR="008B2A57" w:rsidRDefault="008B2A57" w:rsidP="008B2A57">
      <w:pPr>
        <w:pStyle w:val="ListParagraph"/>
        <w:numPr>
          <w:ilvl w:val="0"/>
          <w:numId w:val="4"/>
        </w:numPr>
        <w:spacing w:after="0"/>
        <w:rPr>
          <w:sz w:val="24"/>
          <w:szCs w:val="24"/>
        </w:rPr>
      </w:pPr>
      <w:r>
        <w:rPr>
          <w:sz w:val="24"/>
          <w:szCs w:val="24"/>
        </w:rPr>
        <w:t>Trial court is not bound by the four corners of the criminal complaint when presenting evidence.</w:t>
      </w:r>
    </w:p>
    <w:p w:rsidR="00343411" w:rsidRDefault="00343411" w:rsidP="008B2A57">
      <w:pPr>
        <w:pStyle w:val="ListParagraph"/>
        <w:numPr>
          <w:ilvl w:val="0"/>
          <w:numId w:val="4"/>
        </w:numPr>
        <w:spacing w:after="0"/>
        <w:rPr>
          <w:sz w:val="24"/>
          <w:szCs w:val="24"/>
        </w:rPr>
      </w:pPr>
      <w:r>
        <w:rPr>
          <w:sz w:val="24"/>
          <w:szCs w:val="24"/>
        </w:rPr>
        <w:t>Due process rights were firmly in place.</w:t>
      </w:r>
    </w:p>
    <w:p w:rsidR="00343411" w:rsidRDefault="00343411" w:rsidP="008B2A57">
      <w:pPr>
        <w:pStyle w:val="ListParagraph"/>
        <w:numPr>
          <w:ilvl w:val="0"/>
          <w:numId w:val="4"/>
        </w:numPr>
        <w:spacing w:after="0"/>
        <w:rPr>
          <w:sz w:val="24"/>
          <w:szCs w:val="24"/>
        </w:rPr>
      </w:pPr>
      <w:r>
        <w:rPr>
          <w:sz w:val="24"/>
          <w:szCs w:val="24"/>
        </w:rPr>
        <w:t>Evidence was sufficient to support extension of PFA order.</w:t>
      </w:r>
    </w:p>
    <w:p w:rsidR="008B2A57" w:rsidRPr="008B2A57" w:rsidRDefault="008B2A57" w:rsidP="008B2A57">
      <w:pPr>
        <w:pStyle w:val="ListParagraph"/>
        <w:spacing w:after="0"/>
        <w:ind w:left="1080"/>
        <w:rPr>
          <w:sz w:val="24"/>
          <w:szCs w:val="24"/>
        </w:rPr>
      </w:pPr>
    </w:p>
    <w:p w:rsidR="008B2A57" w:rsidRDefault="00E16E68" w:rsidP="008B2A57">
      <w:pPr>
        <w:spacing w:after="0"/>
        <w:rPr>
          <w:sz w:val="24"/>
          <w:szCs w:val="24"/>
        </w:rPr>
      </w:pPr>
      <w:r>
        <w:rPr>
          <w:b/>
          <w:sz w:val="24"/>
          <w:szCs w:val="24"/>
        </w:rPr>
        <w:t>Rationale:</w:t>
      </w:r>
      <w:r w:rsidR="0010547E">
        <w:rPr>
          <w:sz w:val="24"/>
          <w:szCs w:val="24"/>
        </w:rPr>
        <w:t xml:space="preserve"> </w:t>
      </w:r>
    </w:p>
    <w:p w:rsidR="008B2A57" w:rsidRDefault="008B2A57" w:rsidP="008B2A57">
      <w:pPr>
        <w:pStyle w:val="ListParagraph"/>
        <w:numPr>
          <w:ilvl w:val="0"/>
          <w:numId w:val="6"/>
        </w:numPr>
        <w:spacing w:after="0"/>
        <w:rPr>
          <w:sz w:val="24"/>
          <w:szCs w:val="24"/>
        </w:rPr>
      </w:pPr>
      <w:r>
        <w:rPr>
          <w:sz w:val="24"/>
          <w:szCs w:val="24"/>
        </w:rPr>
        <w:t xml:space="preserve">ICC is intended to punish contemnor, but it’s also meant to prevent further abuse.  Specifically, the act allows for the extension of the PFA order.  </w:t>
      </w:r>
      <w:r>
        <w:rPr>
          <w:color w:val="171E22"/>
        </w:rPr>
        <w:t>“We thus recognize that the PFA confers authority unto a court presiding over a Section 6114 contempt hearing to bring about the cessation of abuse between parties and does not require a separate civil proceeding to extend an existing PFA order</w:t>
      </w:r>
      <w:proofErr w:type="gramStart"/>
      <w:r>
        <w:rPr>
          <w:color w:val="171E22"/>
        </w:rPr>
        <w:t>.</w:t>
      </w:r>
      <w:r>
        <w:rPr>
          <w:rStyle w:val="apple-converted-space"/>
          <w:color w:val="171E22"/>
        </w:rPr>
        <w:t> </w:t>
      </w:r>
      <w:r>
        <w:rPr>
          <w:color w:val="171E22"/>
        </w:rPr>
        <w:t>”</w:t>
      </w:r>
      <w:proofErr w:type="gramEnd"/>
      <w:r>
        <w:rPr>
          <w:rStyle w:val="apple-converted-space"/>
          <w:color w:val="171E22"/>
        </w:rPr>
        <w:t> </w:t>
      </w:r>
      <w:r>
        <w:rPr>
          <w:i/>
          <w:iCs/>
          <w:color w:val="171E22"/>
        </w:rPr>
        <w:t>Com. v. Snell</w:t>
      </w:r>
      <w:r>
        <w:rPr>
          <w:color w:val="171E22"/>
        </w:rPr>
        <w:t>, 1999 PA Super 185, 1235 (Pa. Super. Ct. 1999)</w:t>
      </w:r>
    </w:p>
    <w:p w:rsidR="008B2A57" w:rsidRPr="00343411" w:rsidRDefault="008B2A57" w:rsidP="008B2A57">
      <w:pPr>
        <w:pStyle w:val="ListParagraph"/>
        <w:numPr>
          <w:ilvl w:val="0"/>
          <w:numId w:val="6"/>
        </w:numPr>
        <w:spacing w:after="0"/>
        <w:rPr>
          <w:sz w:val="24"/>
          <w:szCs w:val="24"/>
        </w:rPr>
      </w:pPr>
      <w:r>
        <w:rPr>
          <w:color w:val="171E22"/>
        </w:rPr>
        <w:t>“The fact that the trial court ultimately based its decision to convict on additional evidence adduced at the hearing was not judicial error, since the record makes clear that such evidence was relevant and established beyond a reasonable doubt that Appellant violated the PFA order then in effect.”</w:t>
      </w:r>
      <w:r>
        <w:rPr>
          <w:rStyle w:val="apple-converted-space"/>
          <w:color w:val="171E22"/>
        </w:rPr>
        <w:t> </w:t>
      </w:r>
      <w:r>
        <w:rPr>
          <w:i/>
          <w:iCs/>
          <w:color w:val="171E22"/>
        </w:rPr>
        <w:t>Com. v. Snell</w:t>
      </w:r>
      <w:r>
        <w:rPr>
          <w:color w:val="171E22"/>
        </w:rPr>
        <w:t>, 1999 PA Super 185, 1234 (Pa. Super. Ct. 1999)</w:t>
      </w:r>
    </w:p>
    <w:p w:rsidR="00343411" w:rsidRPr="00343411" w:rsidRDefault="00343411" w:rsidP="008B2A57">
      <w:pPr>
        <w:pStyle w:val="ListParagraph"/>
        <w:numPr>
          <w:ilvl w:val="0"/>
          <w:numId w:val="6"/>
        </w:numPr>
        <w:spacing w:after="0"/>
        <w:rPr>
          <w:sz w:val="24"/>
          <w:szCs w:val="24"/>
        </w:rPr>
      </w:pPr>
      <w:r>
        <w:rPr>
          <w:color w:val="171E22"/>
        </w:rPr>
        <w:t xml:space="preserve">Due process was taken care of according to law.  (And BTW, the standard for judgment of the court in the ICC hearing was higher than for a civil case, so defendant’s due process rights were actually </w:t>
      </w:r>
      <w:r w:rsidRPr="00343411">
        <w:rPr>
          <w:i/>
          <w:color w:val="171E22"/>
        </w:rPr>
        <w:t>strongly</w:t>
      </w:r>
      <w:r>
        <w:rPr>
          <w:color w:val="171E22"/>
        </w:rPr>
        <w:t xml:space="preserve"> protected during the contempt hearing.)</w:t>
      </w:r>
    </w:p>
    <w:p w:rsidR="00343411" w:rsidRPr="008B2A57" w:rsidRDefault="00343411" w:rsidP="008B2A57">
      <w:pPr>
        <w:pStyle w:val="ListParagraph"/>
        <w:numPr>
          <w:ilvl w:val="0"/>
          <w:numId w:val="6"/>
        </w:numPr>
        <w:spacing w:after="0"/>
        <w:rPr>
          <w:sz w:val="24"/>
          <w:szCs w:val="24"/>
        </w:rPr>
      </w:pPr>
      <w:r>
        <w:rPr>
          <w:color w:val="171E22"/>
        </w:rPr>
        <w:t>Extension was warranted because court found “that the defendant engaged in a pattern or practice that indicates continued risk of harm to the plaintiff or minor child.”</w:t>
      </w:r>
      <w:r>
        <w:rPr>
          <w:rStyle w:val="apple-converted-space"/>
          <w:color w:val="171E22"/>
        </w:rPr>
        <w:t> </w:t>
      </w:r>
      <w:r>
        <w:rPr>
          <w:i/>
          <w:iCs/>
          <w:color w:val="171E22"/>
        </w:rPr>
        <w:t>Com. v. Snell</w:t>
      </w:r>
      <w:r>
        <w:rPr>
          <w:color w:val="171E22"/>
        </w:rPr>
        <w:t>, 1999 PA Super 185, 1236 (Pa. Super. Ct. 1999)</w:t>
      </w:r>
    </w:p>
    <w:p w:rsidR="008B2A57" w:rsidRPr="008B2A57" w:rsidRDefault="008B2A57" w:rsidP="008B2A57">
      <w:pPr>
        <w:pStyle w:val="ListParagraph"/>
        <w:spacing w:after="0"/>
        <w:rPr>
          <w:sz w:val="24"/>
          <w:szCs w:val="24"/>
        </w:rPr>
      </w:pPr>
    </w:p>
    <w:p w:rsidR="0015215A" w:rsidRPr="0055000B" w:rsidRDefault="0015215A" w:rsidP="00E16E68">
      <w:pPr>
        <w:rPr>
          <w:sz w:val="24"/>
          <w:szCs w:val="24"/>
        </w:rPr>
      </w:pPr>
      <w:r>
        <w:rPr>
          <w:b/>
          <w:sz w:val="24"/>
          <w:szCs w:val="24"/>
        </w:rPr>
        <w:lastRenderedPageBreak/>
        <w:t>Trial Court Input:</w:t>
      </w:r>
      <w:r w:rsidR="0055000B">
        <w:rPr>
          <w:sz w:val="24"/>
          <w:szCs w:val="24"/>
        </w:rPr>
        <w:t xml:space="preserve">  Did not extend PFA after first infraction, but did so after 2</w:t>
      </w:r>
      <w:r w:rsidR="0055000B" w:rsidRPr="0055000B">
        <w:rPr>
          <w:sz w:val="24"/>
          <w:szCs w:val="24"/>
          <w:vertAlign w:val="superscript"/>
        </w:rPr>
        <w:t>nd</w:t>
      </w:r>
      <w:r w:rsidR="0055000B">
        <w:rPr>
          <w:sz w:val="24"/>
          <w:szCs w:val="24"/>
        </w:rPr>
        <w:t xml:space="preserve"> ICC.</w:t>
      </w:r>
    </w:p>
    <w:p w:rsidR="00E16E68" w:rsidRDefault="00E16E68" w:rsidP="0010547E">
      <w:pPr>
        <w:spacing w:after="0"/>
        <w:rPr>
          <w:sz w:val="24"/>
          <w:szCs w:val="24"/>
        </w:rPr>
      </w:pPr>
      <w:r>
        <w:rPr>
          <w:b/>
          <w:sz w:val="24"/>
          <w:szCs w:val="24"/>
        </w:rPr>
        <w:t>Attorneys’ Arguments:</w:t>
      </w:r>
      <w:r w:rsidR="008B2A57">
        <w:rPr>
          <w:sz w:val="24"/>
          <w:szCs w:val="24"/>
        </w:rPr>
        <w:t xml:space="preserve"> </w:t>
      </w:r>
    </w:p>
    <w:p w:rsidR="008B2A57" w:rsidRPr="008B2A57" w:rsidRDefault="008B2A57" w:rsidP="008B2A57">
      <w:pPr>
        <w:pStyle w:val="ListParagraph"/>
        <w:numPr>
          <w:ilvl w:val="0"/>
          <w:numId w:val="7"/>
        </w:numPr>
        <w:spacing w:after="0"/>
        <w:rPr>
          <w:sz w:val="24"/>
          <w:szCs w:val="24"/>
        </w:rPr>
      </w:pPr>
      <w:r>
        <w:rPr>
          <w:color w:val="171E22"/>
        </w:rPr>
        <w:t>“Appellant argues that extending a PFA order is a remedy unique to a civil proceeding and may be accomplished only after a petition to the civil docket is filed, notice is sent to the defendant, and a civil hearing is held.”</w:t>
      </w:r>
      <w:r>
        <w:rPr>
          <w:rStyle w:val="apple-converted-space"/>
          <w:color w:val="171E22"/>
        </w:rPr>
        <w:t> </w:t>
      </w:r>
      <w:r>
        <w:rPr>
          <w:i/>
          <w:iCs/>
          <w:color w:val="171E22"/>
        </w:rPr>
        <w:t>Com. v. Snell</w:t>
      </w:r>
      <w:r>
        <w:rPr>
          <w:color w:val="171E22"/>
        </w:rPr>
        <w:t>, 1999 PA Super 185, 1235 (Pa. Super. Ct. 1999)</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8B2A57" w:rsidRPr="008B2A57" w:rsidRDefault="008B2A57" w:rsidP="008B2A57">
      <w:pPr>
        <w:pStyle w:val="ListParagraph"/>
        <w:numPr>
          <w:ilvl w:val="0"/>
          <w:numId w:val="7"/>
        </w:numPr>
        <w:spacing w:after="0"/>
        <w:rPr>
          <w:b/>
          <w:sz w:val="24"/>
          <w:szCs w:val="24"/>
        </w:rPr>
      </w:pPr>
      <w:r>
        <w:rPr>
          <w:b/>
          <w:i/>
          <w:sz w:val="24"/>
          <w:szCs w:val="24"/>
        </w:rPr>
        <w:t>Snyder v. Snyder</w:t>
      </w:r>
      <w:r>
        <w:rPr>
          <w:sz w:val="24"/>
          <w:szCs w:val="24"/>
        </w:rPr>
        <w:t xml:space="preserve"> (1993):  PFAA provides numerous ways for courts to respond quickly to both early signs and subsequent acts of abuse.  Trial court may choose between remedies.</w:t>
      </w:r>
    </w:p>
    <w:p w:rsidR="008B2A57" w:rsidRPr="008B2A57" w:rsidRDefault="008B2A57" w:rsidP="008B2A57">
      <w:pPr>
        <w:pStyle w:val="ListParagraph"/>
        <w:numPr>
          <w:ilvl w:val="0"/>
          <w:numId w:val="7"/>
        </w:numPr>
        <w:spacing w:after="0"/>
        <w:rPr>
          <w:b/>
          <w:sz w:val="24"/>
          <w:szCs w:val="24"/>
        </w:rPr>
      </w:pPr>
      <w:r>
        <w:rPr>
          <w:b/>
          <w:sz w:val="24"/>
          <w:szCs w:val="24"/>
        </w:rPr>
        <w:t>23 PA Section 6114(b):</w:t>
      </w:r>
      <w:r>
        <w:rPr>
          <w:sz w:val="24"/>
          <w:szCs w:val="24"/>
        </w:rPr>
        <w:t xml:space="preserve">  grants the court discretion to include in a sentence for contempt “other relief set forth in” the PFA.</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706D" w:rsidRDefault="00F1706D" w:rsidP="00E16E68">
      <w:pPr>
        <w:spacing w:after="0" w:line="240" w:lineRule="auto"/>
      </w:pPr>
      <w:r>
        <w:separator/>
      </w:r>
    </w:p>
  </w:endnote>
  <w:endnote w:type="continuationSeparator" w:id="0">
    <w:p w:rsidR="00F1706D" w:rsidRDefault="00F1706D"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706D" w:rsidRDefault="00F1706D" w:rsidP="00E16E68">
      <w:pPr>
        <w:spacing w:after="0" w:line="240" w:lineRule="auto"/>
      </w:pPr>
      <w:r>
        <w:separator/>
      </w:r>
    </w:p>
  </w:footnote>
  <w:footnote w:type="continuationSeparator" w:id="0">
    <w:p w:rsidR="00F1706D" w:rsidRDefault="00F1706D"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55000B">
      <w:t>1999</w:t>
    </w:r>
    <w:r w:rsidR="00E16E68">
      <w:tab/>
    </w:r>
    <w:r w:rsidR="0055000B">
      <w:t>Comm. v. Snell</w:t>
    </w:r>
  </w:p>
  <w:p w:rsidR="00F95A0E" w:rsidRDefault="00F95A0E" w:rsidP="00F95A0E">
    <w:pPr>
      <w:pStyle w:val="Header"/>
      <w:jc w:val="right"/>
    </w:pPr>
    <w:r>
      <w:tab/>
    </w:r>
    <w:r>
      <w:tab/>
    </w:r>
    <w:r w:rsidR="00343411">
      <w:t>EXTENSION OF PFA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55EB3"/>
    <w:multiLevelType w:val="hybridMultilevel"/>
    <w:tmpl w:val="BA8ABB30"/>
    <w:lvl w:ilvl="0" w:tplc="071C02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E86202"/>
    <w:multiLevelType w:val="hybridMultilevel"/>
    <w:tmpl w:val="342AB13A"/>
    <w:lvl w:ilvl="0" w:tplc="AE183C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0415BB5"/>
    <w:multiLevelType w:val="hybridMultilevel"/>
    <w:tmpl w:val="FABEFDBE"/>
    <w:lvl w:ilvl="0" w:tplc="A900FEC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491765"/>
    <w:multiLevelType w:val="hybridMultilevel"/>
    <w:tmpl w:val="BCBE357A"/>
    <w:lvl w:ilvl="0" w:tplc="F8882E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A9C1432"/>
    <w:multiLevelType w:val="hybridMultilevel"/>
    <w:tmpl w:val="A6942C48"/>
    <w:lvl w:ilvl="0" w:tplc="657A66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0"/>
  </w:num>
  <w:num w:numId="5">
    <w:abstractNumId w:val="2"/>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343411"/>
    <w:rsid w:val="0055000B"/>
    <w:rsid w:val="005F2C53"/>
    <w:rsid w:val="00692188"/>
    <w:rsid w:val="006A18CC"/>
    <w:rsid w:val="007B337C"/>
    <w:rsid w:val="008B2A57"/>
    <w:rsid w:val="009645CA"/>
    <w:rsid w:val="00A20DAD"/>
    <w:rsid w:val="00A41926"/>
    <w:rsid w:val="00A56A0E"/>
    <w:rsid w:val="00AA40E8"/>
    <w:rsid w:val="00C5621B"/>
    <w:rsid w:val="00CB1263"/>
    <w:rsid w:val="00E16E68"/>
    <w:rsid w:val="00F1706D"/>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8B2A5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467</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2017-02-18T21:06:00Z</dcterms:created>
  <dcterms:modified xsi:type="dcterms:W3CDTF">2017-02-18T21:06:00Z</dcterms:modified>
</cp:coreProperties>
</file>