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CB2A57">
        <w:rPr>
          <w:sz w:val="24"/>
          <w:szCs w:val="24"/>
        </w:rPr>
        <w:t>Lela Marie Leonard v. Andre P. Smith, Appellant</w:t>
      </w:r>
    </w:p>
    <w:p w:rsidR="00E16E68" w:rsidRPr="000933B7" w:rsidRDefault="00E16E68" w:rsidP="00E16E68">
      <w:pPr>
        <w:rPr>
          <w:sz w:val="24"/>
          <w:szCs w:val="24"/>
        </w:rPr>
      </w:pPr>
      <w:r>
        <w:rPr>
          <w:b/>
          <w:sz w:val="24"/>
          <w:szCs w:val="24"/>
        </w:rPr>
        <w:t>Judge:</w:t>
      </w:r>
      <w:r>
        <w:rPr>
          <w:b/>
          <w:sz w:val="24"/>
          <w:szCs w:val="24"/>
        </w:rPr>
        <w:tab/>
      </w:r>
      <w:r w:rsidR="00CB2A57" w:rsidRPr="00CB2A57">
        <w:rPr>
          <w:sz w:val="24"/>
          <w:szCs w:val="24"/>
        </w:rPr>
        <w:t xml:space="preserve">J. </w:t>
      </w:r>
      <w:proofErr w:type="spellStart"/>
      <w:r w:rsidR="00CB2A57" w:rsidRPr="00CB2A57">
        <w:rPr>
          <w:sz w:val="24"/>
          <w:szCs w:val="24"/>
        </w:rPr>
        <w:t>Tamilia</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CB2A57">
        <w:rPr>
          <w:sz w:val="24"/>
          <w:szCs w:val="24"/>
        </w:rPr>
        <w:t>1996</w:t>
      </w:r>
    </w:p>
    <w:p w:rsidR="00E16E68" w:rsidRPr="000933B7" w:rsidRDefault="00E16E68" w:rsidP="00E16E68">
      <w:pPr>
        <w:rPr>
          <w:sz w:val="24"/>
          <w:szCs w:val="24"/>
        </w:rPr>
      </w:pPr>
      <w:r>
        <w:rPr>
          <w:b/>
          <w:sz w:val="24"/>
          <w:szCs w:val="24"/>
        </w:rPr>
        <w:t>Tags:</w:t>
      </w:r>
      <w:r w:rsidR="000933B7">
        <w:rPr>
          <w:sz w:val="24"/>
          <w:szCs w:val="24"/>
        </w:rPr>
        <w:t xml:space="preserve"> </w:t>
      </w:r>
      <w:r w:rsidR="00E14F33">
        <w:rPr>
          <w:sz w:val="24"/>
          <w:szCs w:val="24"/>
        </w:rPr>
        <w:t>ICC, PFA, Double Jeopardy, criminal convictions</w:t>
      </w:r>
    </w:p>
    <w:p w:rsidR="00E16E68" w:rsidRPr="000933B7" w:rsidRDefault="00E16E68" w:rsidP="00E16E68">
      <w:pPr>
        <w:rPr>
          <w:sz w:val="24"/>
          <w:szCs w:val="24"/>
        </w:rPr>
      </w:pPr>
      <w:r>
        <w:rPr>
          <w:b/>
          <w:sz w:val="24"/>
          <w:szCs w:val="24"/>
        </w:rPr>
        <w:t>Facts:</w:t>
      </w:r>
      <w:r w:rsidR="000933B7">
        <w:rPr>
          <w:sz w:val="24"/>
          <w:szCs w:val="24"/>
        </w:rPr>
        <w:t xml:space="preserve"> </w:t>
      </w:r>
      <w:r w:rsidR="00CB2A57">
        <w:rPr>
          <w:sz w:val="24"/>
          <w:szCs w:val="24"/>
        </w:rPr>
        <w:t xml:space="preserve">Appellant charged with four ICC counts for violating PFA by making threatening contacts with former girlfriend.  </w:t>
      </w:r>
      <w:proofErr w:type="gramStart"/>
      <w:r w:rsidR="00CB2A57">
        <w:rPr>
          <w:sz w:val="24"/>
          <w:szCs w:val="24"/>
        </w:rPr>
        <w:t>Convicted of a single continuing violation, plus three other violations.</w:t>
      </w:r>
      <w:proofErr w:type="gramEnd"/>
      <w:r w:rsidR="00CB2A57">
        <w:rPr>
          <w:sz w:val="24"/>
          <w:szCs w:val="24"/>
        </w:rPr>
        <w:t xml:space="preserve">  </w:t>
      </w:r>
      <w:proofErr w:type="gramStart"/>
      <w:r w:rsidR="00CB2A57">
        <w:rPr>
          <w:sz w:val="24"/>
          <w:szCs w:val="24"/>
        </w:rPr>
        <w:t>Sentenced to three consecutive six-month terms of imprisonment plus an additional concurrent six-month term.</w:t>
      </w:r>
      <w:proofErr w:type="gramEnd"/>
      <w:r w:rsidR="00CB2A57">
        <w:rPr>
          <w:sz w:val="24"/>
          <w:szCs w:val="24"/>
        </w:rPr>
        <w:t xml:space="preserve">  But appellant had already received a sentence (1.5-5 yrs) on separate criminal charges arising out of one of the incidents (stalking, harassment, and criminal mischief).</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852B15">
        <w:rPr>
          <w:sz w:val="24"/>
          <w:szCs w:val="24"/>
        </w:rPr>
        <w:t>Is an ICC following a criminal conviction a double jeopardy issue?</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852B15">
        <w:rPr>
          <w:sz w:val="24"/>
          <w:szCs w:val="24"/>
        </w:rPr>
        <w:t>IN THIS CASE, t</w:t>
      </w:r>
      <w:r w:rsidR="002670FD">
        <w:rPr>
          <w:sz w:val="24"/>
          <w:szCs w:val="24"/>
        </w:rPr>
        <w:t xml:space="preserve">here is no Double Jeopardy protection triggered by an ICC </w:t>
      </w:r>
      <w:r w:rsidR="00852B15">
        <w:rPr>
          <w:sz w:val="24"/>
          <w:szCs w:val="24"/>
        </w:rPr>
        <w:t xml:space="preserve">following a criminal conviction (because the </w:t>
      </w:r>
      <w:r w:rsidR="00852B15" w:rsidRPr="00852B15">
        <w:rPr>
          <w:i/>
          <w:sz w:val="24"/>
          <w:szCs w:val="24"/>
        </w:rPr>
        <w:t>elements</w:t>
      </w:r>
      <w:r w:rsidR="00852B15">
        <w:rPr>
          <w:sz w:val="24"/>
          <w:szCs w:val="24"/>
        </w:rPr>
        <w:t xml:space="preserve"> of each are distinct).  Trial court’s order is affirmed.</w:t>
      </w:r>
    </w:p>
    <w:p w:rsidR="00E16E68" w:rsidRDefault="00E16E68" w:rsidP="002670FD">
      <w:pPr>
        <w:spacing w:after="0"/>
        <w:rPr>
          <w:sz w:val="24"/>
          <w:szCs w:val="24"/>
        </w:rPr>
      </w:pPr>
      <w:r>
        <w:rPr>
          <w:b/>
          <w:sz w:val="24"/>
          <w:szCs w:val="24"/>
        </w:rPr>
        <w:t>Rationale:</w:t>
      </w:r>
      <w:r w:rsidR="0010547E">
        <w:rPr>
          <w:sz w:val="24"/>
          <w:szCs w:val="24"/>
        </w:rPr>
        <w:t xml:space="preserve"> </w:t>
      </w:r>
    </w:p>
    <w:p w:rsidR="002670FD" w:rsidRPr="002670FD" w:rsidRDefault="002670FD" w:rsidP="002670FD">
      <w:pPr>
        <w:pStyle w:val="ListParagraph"/>
        <w:numPr>
          <w:ilvl w:val="0"/>
          <w:numId w:val="4"/>
        </w:numPr>
        <w:spacing w:after="0"/>
        <w:rPr>
          <w:sz w:val="24"/>
          <w:szCs w:val="24"/>
        </w:rPr>
      </w:pPr>
      <w:r>
        <w:rPr>
          <w:color w:val="171E22"/>
        </w:rPr>
        <w:t>“As these provisions indicate, each of the charges underlying appellant's criminal conviction require proof of an element which is not required by either of the charges underlying the subsequent contempt conviction, and vice versa.</w:t>
      </w:r>
      <w:r>
        <w:rPr>
          <w:rStyle w:val="apple-converted-space"/>
          <w:color w:val="171E22"/>
        </w:rPr>
        <w:t> </w:t>
      </w:r>
      <w:r>
        <w:rPr>
          <w:color w:val="171E22"/>
        </w:rPr>
        <w:t>”</w:t>
      </w:r>
      <w:r>
        <w:rPr>
          <w:rStyle w:val="apple-converted-space"/>
          <w:color w:val="171E22"/>
        </w:rPr>
        <w:t> </w:t>
      </w:r>
      <w:r>
        <w:rPr>
          <w:i/>
          <w:iCs/>
          <w:color w:val="171E22"/>
        </w:rPr>
        <w:t>Leonard v. Smith</w:t>
      </w:r>
      <w:r>
        <w:rPr>
          <w:color w:val="171E22"/>
        </w:rPr>
        <w:t>, 454 Pa. Super. 51, 58 (Pa. Super. Ct. 1996)</w:t>
      </w:r>
    </w:p>
    <w:p w:rsidR="002670FD" w:rsidRPr="002670FD" w:rsidRDefault="002670FD" w:rsidP="002670FD">
      <w:pPr>
        <w:pStyle w:val="ListParagraph"/>
        <w:spacing w:after="0"/>
        <w:rPr>
          <w:sz w:val="24"/>
          <w:szCs w:val="24"/>
        </w:rPr>
      </w:pPr>
    </w:p>
    <w:p w:rsidR="00CB2A57" w:rsidRDefault="0015215A" w:rsidP="00CB2A57">
      <w:pPr>
        <w:spacing w:after="0"/>
        <w:rPr>
          <w:sz w:val="24"/>
          <w:szCs w:val="24"/>
        </w:rPr>
      </w:pPr>
      <w:r>
        <w:rPr>
          <w:b/>
          <w:sz w:val="24"/>
          <w:szCs w:val="24"/>
        </w:rPr>
        <w:t>Dicta:</w:t>
      </w:r>
    </w:p>
    <w:p w:rsidR="00CB2A57" w:rsidRPr="00CB2A57" w:rsidRDefault="00CB2A57" w:rsidP="00CB2A57">
      <w:pPr>
        <w:pStyle w:val="ListParagraph"/>
        <w:numPr>
          <w:ilvl w:val="0"/>
          <w:numId w:val="3"/>
        </w:numPr>
        <w:spacing w:after="0"/>
        <w:rPr>
          <w:b/>
          <w:sz w:val="24"/>
          <w:szCs w:val="24"/>
        </w:rPr>
      </w:pPr>
      <w:r>
        <w:rPr>
          <w:color w:val="171E22"/>
        </w:rPr>
        <w:t>“This prior sentence becomes important because of a recent development in our law concerning double jeopardy.”</w:t>
      </w:r>
      <w:r>
        <w:rPr>
          <w:rStyle w:val="apple-converted-space"/>
          <w:color w:val="171E22"/>
        </w:rPr>
        <w:t> </w:t>
      </w:r>
      <w:r>
        <w:rPr>
          <w:i/>
          <w:iCs/>
          <w:color w:val="171E22"/>
        </w:rPr>
        <w:t>Leonard v. Smith</w:t>
      </w:r>
      <w:r>
        <w:rPr>
          <w:color w:val="171E22"/>
        </w:rPr>
        <w:t>, 454 Pa. Super. 51, 54 (Pa. Super. Ct. 1996)</w:t>
      </w:r>
    </w:p>
    <w:p w:rsidR="00CB2A57" w:rsidRPr="00852B15" w:rsidRDefault="00176E6A" w:rsidP="00CB2A57">
      <w:pPr>
        <w:pStyle w:val="ListParagraph"/>
        <w:numPr>
          <w:ilvl w:val="0"/>
          <w:numId w:val="3"/>
        </w:numPr>
        <w:spacing w:after="0"/>
        <w:rPr>
          <w:b/>
          <w:sz w:val="24"/>
          <w:szCs w:val="24"/>
        </w:rPr>
      </w:pPr>
      <w:r>
        <w:rPr>
          <w:color w:val="171E22"/>
        </w:rPr>
        <w:t>“In order to apply the "same element" test of</w:t>
      </w:r>
      <w:r>
        <w:rPr>
          <w:rStyle w:val="apple-converted-space"/>
          <w:color w:val="171E22"/>
        </w:rPr>
        <w:t> </w:t>
      </w:r>
      <w:proofErr w:type="spellStart"/>
      <w:r>
        <w:rPr>
          <w:i/>
          <w:iCs/>
          <w:color w:val="171E22"/>
        </w:rPr>
        <w:t>Yerby</w:t>
      </w:r>
      <w:proofErr w:type="spellEnd"/>
      <w:r>
        <w:rPr>
          <w:i/>
          <w:iCs/>
          <w:color w:val="171E22"/>
        </w:rPr>
        <w:t>,</w:t>
      </w:r>
      <w:r>
        <w:rPr>
          <w:rStyle w:val="apple-converted-space"/>
          <w:color w:val="171E22"/>
        </w:rPr>
        <w:t> </w:t>
      </w:r>
      <w:r>
        <w:rPr>
          <w:color w:val="171E22"/>
        </w:rPr>
        <w:t>we must first determine the offenses with which appellant was charged at the prior criminal proceeding and compare them to the offenses underlying the subsequent contempt proceeding</w:t>
      </w:r>
      <w:proofErr w:type="gramStart"/>
      <w:r>
        <w:rPr>
          <w:color w:val="171E22"/>
        </w:rPr>
        <w:t>.</w:t>
      </w:r>
      <w:r>
        <w:rPr>
          <w:rStyle w:val="apple-converted-space"/>
          <w:color w:val="171E22"/>
        </w:rPr>
        <w:t> </w:t>
      </w:r>
      <w:r>
        <w:rPr>
          <w:color w:val="171E22"/>
        </w:rPr>
        <w:t>”</w:t>
      </w:r>
      <w:proofErr w:type="gramEnd"/>
      <w:r>
        <w:rPr>
          <w:rStyle w:val="apple-converted-space"/>
          <w:color w:val="171E22"/>
        </w:rPr>
        <w:t> </w:t>
      </w:r>
      <w:r>
        <w:rPr>
          <w:i/>
          <w:iCs/>
          <w:color w:val="171E22"/>
        </w:rPr>
        <w:t>Leonard v. Smith</w:t>
      </w:r>
      <w:r>
        <w:rPr>
          <w:color w:val="171E22"/>
        </w:rPr>
        <w:t>, 454 Pa. Super. 51, 55 (Pa. Super. Ct. 1996)</w:t>
      </w:r>
    </w:p>
    <w:p w:rsidR="00852B15" w:rsidRPr="00CB2A57" w:rsidRDefault="00852B15" w:rsidP="00CB2A57">
      <w:pPr>
        <w:pStyle w:val="ListParagraph"/>
        <w:numPr>
          <w:ilvl w:val="0"/>
          <w:numId w:val="3"/>
        </w:numPr>
        <w:spacing w:after="0"/>
        <w:rPr>
          <w:b/>
          <w:sz w:val="24"/>
          <w:szCs w:val="24"/>
        </w:rPr>
      </w:pPr>
      <w:r>
        <w:rPr>
          <w:color w:val="171E22"/>
        </w:rPr>
        <w:t xml:space="preserve">“However, this testimony was refuted by </w:t>
      </w:r>
      <w:proofErr w:type="spellStart"/>
      <w:r>
        <w:rPr>
          <w:color w:val="171E22"/>
        </w:rPr>
        <w:t>appellee</w:t>
      </w:r>
      <w:proofErr w:type="spellEnd"/>
      <w:r>
        <w:rPr>
          <w:color w:val="171E22"/>
        </w:rPr>
        <w:t xml:space="preserve">, and the PFA court, whose duty it was to assess credibility, found in favor of </w:t>
      </w:r>
      <w:proofErr w:type="spellStart"/>
      <w:r>
        <w:rPr>
          <w:color w:val="171E22"/>
        </w:rPr>
        <w:t>appellee</w:t>
      </w:r>
      <w:proofErr w:type="spellEnd"/>
      <w:r>
        <w:rPr>
          <w:color w:val="171E22"/>
        </w:rPr>
        <w:t>. We will not disturb this finding.”</w:t>
      </w:r>
      <w:r>
        <w:rPr>
          <w:rStyle w:val="apple-converted-space"/>
          <w:color w:val="171E22"/>
        </w:rPr>
        <w:t> </w:t>
      </w:r>
      <w:r>
        <w:rPr>
          <w:i/>
          <w:iCs/>
          <w:color w:val="171E22"/>
        </w:rPr>
        <w:t>Leonard v. Smith</w:t>
      </w:r>
      <w:r>
        <w:rPr>
          <w:color w:val="171E22"/>
        </w:rPr>
        <w:t>, 454 Pa. Super. 51, 61 (Pa. Super. Ct. 1996)</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CB2A57" w:rsidRPr="00CB2A57" w:rsidRDefault="00CB2A57" w:rsidP="00CB2A57">
      <w:pPr>
        <w:pStyle w:val="ListParagraph"/>
        <w:numPr>
          <w:ilvl w:val="0"/>
          <w:numId w:val="3"/>
        </w:numPr>
        <w:spacing w:after="0"/>
        <w:rPr>
          <w:b/>
          <w:sz w:val="24"/>
          <w:szCs w:val="24"/>
        </w:rPr>
      </w:pPr>
      <w:r>
        <w:rPr>
          <w:b/>
          <w:i/>
          <w:sz w:val="24"/>
          <w:szCs w:val="24"/>
        </w:rPr>
        <w:t xml:space="preserve">Comm. v. Allen </w:t>
      </w:r>
      <w:r>
        <w:rPr>
          <w:b/>
          <w:sz w:val="24"/>
          <w:szCs w:val="24"/>
        </w:rPr>
        <w:t>(1984):</w:t>
      </w:r>
      <w:r>
        <w:rPr>
          <w:sz w:val="24"/>
          <w:szCs w:val="24"/>
        </w:rPr>
        <w:t xml:space="preserve">  No double jeopardy if contempt proceeding involved same conduct as a separate criminal case.</w:t>
      </w:r>
    </w:p>
    <w:p w:rsidR="00CB2A57" w:rsidRPr="00176E6A" w:rsidRDefault="00CB2A57" w:rsidP="00CB2A57">
      <w:pPr>
        <w:pStyle w:val="ListParagraph"/>
        <w:numPr>
          <w:ilvl w:val="0"/>
          <w:numId w:val="3"/>
        </w:numPr>
        <w:spacing w:after="0"/>
        <w:rPr>
          <w:b/>
          <w:sz w:val="24"/>
          <w:szCs w:val="24"/>
        </w:rPr>
      </w:pPr>
      <w:r>
        <w:rPr>
          <w:b/>
          <w:i/>
          <w:sz w:val="24"/>
          <w:szCs w:val="24"/>
        </w:rPr>
        <w:t>Comm.</w:t>
      </w:r>
      <w:r>
        <w:rPr>
          <w:b/>
          <w:sz w:val="24"/>
          <w:szCs w:val="24"/>
        </w:rPr>
        <w:t xml:space="preserve"> </w:t>
      </w:r>
      <w:r>
        <w:rPr>
          <w:b/>
          <w:i/>
          <w:sz w:val="24"/>
          <w:szCs w:val="24"/>
        </w:rPr>
        <w:t xml:space="preserve">v. </w:t>
      </w:r>
      <w:proofErr w:type="spellStart"/>
      <w:r>
        <w:rPr>
          <w:b/>
          <w:i/>
          <w:sz w:val="24"/>
          <w:szCs w:val="24"/>
        </w:rPr>
        <w:t>Yerby</w:t>
      </w:r>
      <w:proofErr w:type="spellEnd"/>
      <w:r>
        <w:rPr>
          <w:b/>
          <w:i/>
          <w:sz w:val="24"/>
          <w:szCs w:val="24"/>
        </w:rPr>
        <w:t xml:space="preserve"> </w:t>
      </w:r>
      <w:r>
        <w:rPr>
          <w:b/>
          <w:sz w:val="24"/>
          <w:szCs w:val="24"/>
        </w:rPr>
        <w:t>(1996):</w:t>
      </w:r>
      <w:r>
        <w:rPr>
          <w:sz w:val="24"/>
          <w:szCs w:val="24"/>
        </w:rPr>
        <w:t xml:space="preserve">  Double jeopardy attaches if 2</w:t>
      </w:r>
      <w:r w:rsidRPr="00CB2A57">
        <w:rPr>
          <w:sz w:val="24"/>
          <w:szCs w:val="24"/>
          <w:vertAlign w:val="superscript"/>
        </w:rPr>
        <w:t>nd</w:t>
      </w:r>
      <w:r>
        <w:rPr>
          <w:sz w:val="24"/>
          <w:szCs w:val="24"/>
        </w:rPr>
        <w:t xml:space="preserve"> prosecution is an element of 1</w:t>
      </w:r>
      <w:r w:rsidRPr="00CB2A57">
        <w:rPr>
          <w:sz w:val="24"/>
          <w:szCs w:val="24"/>
          <w:vertAlign w:val="superscript"/>
        </w:rPr>
        <w:t>st</w:t>
      </w:r>
      <w:r>
        <w:rPr>
          <w:sz w:val="24"/>
          <w:szCs w:val="24"/>
        </w:rPr>
        <w:t xml:space="preserve">, or if the two prosecutions contain the </w:t>
      </w:r>
      <w:r w:rsidRPr="00CB2A57">
        <w:rPr>
          <w:i/>
          <w:sz w:val="24"/>
          <w:szCs w:val="24"/>
        </w:rPr>
        <w:t>same</w:t>
      </w:r>
      <w:r>
        <w:rPr>
          <w:sz w:val="24"/>
          <w:szCs w:val="24"/>
        </w:rPr>
        <w:t xml:space="preserve"> elements.</w:t>
      </w:r>
    </w:p>
    <w:p w:rsidR="00176E6A" w:rsidRPr="002670FD" w:rsidRDefault="00176E6A" w:rsidP="00CB2A57">
      <w:pPr>
        <w:pStyle w:val="ListParagraph"/>
        <w:numPr>
          <w:ilvl w:val="0"/>
          <w:numId w:val="3"/>
        </w:numPr>
        <w:spacing w:after="0"/>
        <w:rPr>
          <w:b/>
          <w:sz w:val="24"/>
          <w:szCs w:val="24"/>
        </w:rPr>
      </w:pPr>
      <w:r>
        <w:rPr>
          <w:b/>
          <w:i/>
          <w:sz w:val="24"/>
          <w:szCs w:val="24"/>
        </w:rPr>
        <w:t xml:space="preserve">Wagner v Wagner </w:t>
      </w:r>
      <w:r>
        <w:rPr>
          <w:b/>
          <w:sz w:val="24"/>
          <w:szCs w:val="24"/>
        </w:rPr>
        <w:t>(1989):</w:t>
      </w:r>
      <w:r>
        <w:rPr>
          <w:sz w:val="24"/>
          <w:szCs w:val="24"/>
        </w:rPr>
        <w:t xml:space="preserve">  ICC is criminal in nature and has double jeopardy implications.</w:t>
      </w:r>
    </w:p>
    <w:p w:rsidR="002670FD" w:rsidRPr="00CB2A57" w:rsidRDefault="002670FD" w:rsidP="00CB2A57">
      <w:pPr>
        <w:pStyle w:val="ListParagraph"/>
        <w:numPr>
          <w:ilvl w:val="0"/>
          <w:numId w:val="3"/>
        </w:numPr>
        <w:spacing w:after="0"/>
        <w:rPr>
          <w:b/>
          <w:sz w:val="24"/>
          <w:szCs w:val="24"/>
        </w:rPr>
      </w:pPr>
      <w:r>
        <w:rPr>
          <w:b/>
          <w:sz w:val="24"/>
          <w:szCs w:val="24"/>
        </w:rPr>
        <w:t xml:space="preserve">PA Criminal Statute (Title 18):  2709 = </w:t>
      </w:r>
      <w:r>
        <w:rPr>
          <w:sz w:val="24"/>
          <w:szCs w:val="24"/>
        </w:rPr>
        <w:t xml:space="preserve">Harassment &amp; stalking; </w:t>
      </w:r>
      <w:r>
        <w:rPr>
          <w:b/>
          <w:sz w:val="24"/>
          <w:szCs w:val="24"/>
        </w:rPr>
        <w:t xml:space="preserve">5504 = </w:t>
      </w:r>
      <w:r>
        <w:rPr>
          <w:sz w:val="24"/>
          <w:szCs w:val="24"/>
        </w:rPr>
        <w:t xml:space="preserve">Harassment by communication or address; </w:t>
      </w:r>
      <w:r>
        <w:rPr>
          <w:b/>
          <w:sz w:val="24"/>
          <w:szCs w:val="24"/>
        </w:rPr>
        <w:t xml:space="preserve">3304 = </w:t>
      </w:r>
      <w:r>
        <w:rPr>
          <w:sz w:val="24"/>
          <w:szCs w:val="24"/>
        </w:rPr>
        <w:t xml:space="preserve">Criminal Mischief (damage to tangible property); </w:t>
      </w:r>
      <w:r>
        <w:rPr>
          <w:b/>
          <w:sz w:val="24"/>
          <w:szCs w:val="24"/>
        </w:rPr>
        <w:t xml:space="preserve">3503 = </w:t>
      </w:r>
      <w:r>
        <w:rPr>
          <w:sz w:val="24"/>
          <w:szCs w:val="24"/>
        </w:rPr>
        <w:t xml:space="preserve">Defiant Trespass (if defying </w:t>
      </w:r>
      <w:r>
        <w:rPr>
          <w:sz w:val="24"/>
          <w:szCs w:val="24"/>
        </w:rPr>
        <w:lastRenderedPageBreak/>
        <w:t xml:space="preserve">posted or served order to stay away, or obvious things like fences designed to keep people out); </w:t>
      </w:r>
      <w:r>
        <w:rPr>
          <w:b/>
          <w:sz w:val="24"/>
          <w:szCs w:val="24"/>
        </w:rPr>
        <w:t xml:space="preserve">2701 = </w:t>
      </w:r>
      <w:r>
        <w:rPr>
          <w:sz w:val="24"/>
          <w:szCs w:val="24"/>
        </w:rPr>
        <w:t>Simple Assault (bodily injury or the fear of)</w:t>
      </w:r>
    </w:p>
    <w:p w:rsidR="0015215A" w:rsidRDefault="0015215A" w:rsidP="0010547E">
      <w:pPr>
        <w:spacing w:after="0"/>
        <w:rPr>
          <w:sz w:val="24"/>
          <w:szCs w:val="24"/>
        </w:rPr>
      </w:pPr>
      <w:r>
        <w:rPr>
          <w:b/>
          <w:sz w:val="24"/>
          <w:szCs w:val="24"/>
        </w:rPr>
        <w:t>Commentary:</w:t>
      </w:r>
    </w:p>
    <w:p w:rsidR="00CB2A57" w:rsidRDefault="00CB2A57" w:rsidP="00CB2A57">
      <w:pPr>
        <w:pStyle w:val="ListParagraph"/>
        <w:numPr>
          <w:ilvl w:val="0"/>
          <w:numId w:val="3"/>
        </w:numPr>
        <w:spacing w:after="0"/>
        <w:rPr>
          <w:sz w:val="24"/>
          <w:szCs w:val="24"/>
        </w:rPr>
      </w:pPr>
      <w:r>
        <w:rPr>
          <w:sz w:val="24"/>
          <w:szCs w:val="24"/>
        </w:rPr>
        <w:t xml:space="preserve">This case occurred after </w:t>
      </w:r>
      <w:r>
        <w:rPr>
          <w:i/>
          <w:sz w:val="24"/>
          <w:szCs w:val="24"/>
        </w:rPr>
        <w:t xml:space="preserve">Comm. v. Allen </w:t>
      </w:r>
      <w:r>
        <w:rPr>
          <w:sz w:val="24"/>
          <w:szCs w:val="24"/>
        </w:rPr>
        <w:t xml:space="preserve">(1984) was overruled by </w:t>
      </w:r>
      <w:r>
        <w:rPr>
          <w:i/>
          <w:sz w:val="24"/>
          <w:szCs w:val="24"/>
        </w:rPr>
        <w:t xml:space="preserve">Comm. v. </w:t>
      </w:r>
      <w:proofErr w:type="spellStart"/>
      <w:r>
        <w:rPr>
          <w:i/>
          <w:sz w:val="24"/>
          <w:szCs w:val="24"/>
        </w:rPr>
        <w:t>Yerby</w:t>
      </w:r>
      <w:proofErr w:type="spellEnd"/>
      <w:r>
        <w:rPr>
          <w:sz w:val="24"/>
          <w:szCs w:val="24"/>
        </w:rPr>
        <w:t xml:space="preserve"> (1996).</w:t>
      </w:r>
    </w:p>
    <w:p w:rsidR="00CB2A57" w:rsidRDefault="00CB2A57" w:rsidP="00CB2A57">
      <w:pPr>
        <w:pStyle w:val="ListParagraph"/>
        <w:numPr>
          <w:ilvl w:val="0"/>
          <w:numId w:val="3"/>
        </w:numPr>
        <w:spacing w:after="0"/>
        <w:rPr>
          <w:sz w:val="24"/>
          <w:szCs w:val="24"/>
        </w:rPr>
      </w:pPr>
      <w:r>
        <w:rPr>
          <w:i/>
          <w:sz w:val="24"/>
          <w:szCs w:val="24"/>
        </w:rPr>
        <w:t xml:space="preserve">Comm. v. </w:t>
      </w:r>
      <w:proofErr w:type="spellStart"/>
      <w:r>
        <w:rPr>
          <w:i/>
          <w:sz w:val="24"/>
          <w:szCs w:val="24"/>
        </w:rPr>
        <w:t>Yerby</w:t>
      </w:r>
      <w:proofErr w:type="spellEnd"/>
      <w:r>
        <w:rPr>
          <w:sz w:val="24"/>
          <w:szCs w:val="24"/>
        </w:rPr>
        <w:t xml:space="preserve"> reasons like this:</w:t>
      </w:r>
    </w:p>
    <w:p w:rsidR="00CB2A57" w:rsidRDefault="00CB2A57" w:rsidP="00CB2A57">
      <w:pPr>
        <w:spacing w:after="0"/>
        <w:rPr>
          <w:sz w:val="24"/>
          <w:szCs w:val="24"/>
        </w:rPr>
      </w:pPr>
    </w:p>
    <w:p w:rsidR="006E197E" w:rsidRDefault="006E197E" w:rsidP="00CB2A57">
      <w:pPr>
        <w:spacing w:after="0"/>
        <w:rPr>
          <w:sz w:val="24"/>
          <w:szCs w:val="24"/>
        </w:rPr>
      </w:pPr>
      <w:r>
        <w:rPr>
          <w:noProof/>
          <w:sz w:val="24"/>
          <w:szCs w:val="24"/>
        </w:rPr>
        <w:pict>
          <v:shapetype id="_x0000_t202" coordsize="21600,21600" o:spt="202" path="m,l,21600r21600,l21600,xe">
            <v:stroke joinstyle="miter"/>
            <v:path gradientshapeok="t" o:connecttype="rect"/>
          </v:shapetype>
          <v:shape id="_x0000_s1030" type="#_x0000_t202" style="position:absolute;margin-left:-4.5pt;margin-top:8pt;width:87pt;height:37.75pt;z-index:251662336" stroked="f">
            <v:textbox>
              <w:txbxContent>
                <w:p w:rsidR="006E197E" w:rsidRPr="006E197E" w:rsidRDefault="006E197E" w:rsidP="006E197E">
                  <w:pPr>
                    <w:jc w:val="center"/>
                    <w:rPr>
                      <w:b/>
                    </w:rPr>
                  </w:pPr>
                  <w:r>
                    <w:rPr>
                      <w:b/>
                    </w:rPr>
                    <w:t>1st Conviction (ICC)</w:t>
                  </w:r>
                </w:p>
              </w:txbxContent>
            </v:textbox>
          </v:shape>
        </w:pict>
      </w:r>
      <w:r>
        <w:rPr>
          <w:noProof/>
          <w:sz w:val="24"/>
          <w:szCs w:val="24"/>
        </w:rPr>
        <w:pict>
          <v:oval id="_x0000_s1026" style="position:absolute;margin-left:63pt;margin-top:8pt;width:132pt;height:131.25pt;z-index:251658240"/>
        </w:pict>
      </w:r>
    </w:p>
    <w:p w:rsidR="006E197E" w:rsidRDefault="006E197E" w:rsidP="00CB2A57">
      <w:pPr>
        <w:spacing w:after="0"/>
        <w:rPr>
          <w:sz w:val="24"/>
          <w:szCs w:val="24"/>
        </w:rPr>
      </w:pPr>
    </w:p>
    <w:p w:rsidR="006E197E" w:rsidRDefault="006E197E" w:rsidP="00CB2A57">
      <w:pPr>
        <w:spacing w:after="0"/>
        <w:rPr>
          <w:sz w:val="24"/>
          <w:szCs w:val="24"/>
        </w:rPr>
      </w:pPr>
      <w:r>
        <w:rPr>
          <w:noProof/>
          <w:sz w:val="24"/>
          <w:szCs w:val="24"/>
        </w:rPr>
        <w:pict>
          <v:shape id="_x0000_s1032" type="#_x0000_t202" style="position:absolute;margin-left:204pt;margin-top:5.8pt;width:87pt;height:43.5pt;z-index:251664384" stroked="f">
            <v:textbox>
              <w:txbxContent>
                <w:p w:rsidR="006E197E" w:rsidRPr="006E197E" w:rsidRDefault="006E197E" w:rsidP="006E197E">
                  <w:pPr>
                    <w:jc w:val="center"/>
                    <w:rPr>
                      <w:b/>
                    </w:rPr>
                  </w:pPr>
                  <w:r>
                    <w:rPr>
                      <w:b/>
                    </w:rPr>
                    <w:t>= Double Jeopardy</w:t>
                  </w:r>
                </w:p>
              </w:txbxContent>
            </v:textbox>
          </v:shape>
        </w:pict>
      </w:r>
      <w:r>
        <w:rPr>
          <w:noProof/>
          <w:sz w:val="24"/>
          <w:szCs w:val="24"/>
        </w:rPr>
        <w:pict>
          <v:shape id="_x0000_s1028" type="#_x0000_t202" style="position:absolute;margin-left:77.25pt;margin-top:12.05pt;width:55.5pt;height:21.75pt;z-index:251660288" stroked="f">
            <v:textbox>
              <w:txbxContent>
                <w:p w:rsidR="006E197E" w:rsidRPr="006E197E" w:rsidRDefault="006E197E">
                  <w:pPr>
                    <w:rPr>
                      <w:b/>
                    </w:rPr>
                  </w:pPr>
                  <w:r>
                    <w:rPr>
                      <w:b/>
                    </w:rPr>
                    <w:t>ICC</w:t>
                  </w:r>
                </w:p>
              </w:txbxContent>
            </v:textbox>
          </v:shape>
        </w:pict>
      </w:r>
    </w:p>
    <w:p w:rsidR="006E197E" w:rsidRDefault="006E197E" w:rsidP="00CB2A57">
      <w:pPr>
        <w:spacing w:after="0"/>
        <w:rPr>
          <w:sz w:val="24"/>
          <w:szCs w:val="24"/>
        </w:rPr>
      </w:pPr>
      <w:r>
        <w:rPr>
          <w:noProof/>
          <w:sz w:val="24"/>
          <w:szCs w:val="24"/>
        </w:rPr>
        <w:pict>
          <v:oval id="_x0000_s1027" style="position:absolute;margin-left:111.75pt;margin-top:12.2pt;width:71.25pt;height:63.75pt;z-index:251659264"/>
        </w:pict>
      </w:r>
    </w:p>
    <w:p w:rsidR="006E197E" w:rsidRDefault="006E197E" w:rsidP="00CB2A57">
      <w:pPr>
        <w:spacing w:after="0"/>
        <w:rPr>
          <w:sz w:val="24"/>
          <w:szCs w:val="24"/>
        </w:rPr>
      </w:pPr>
      <w:r>
        <w:rPr>
          <w:noProof/>
          <w:sz w:val="24"/>
          <w:szCs w:val="24"/>
        </w:rPr>
        <w:pict>
          <v:shape id="_x0000_s1029" type="#_x0000_t202" style="position:absolute;margin-left:120.75pt;margin-top:15.6pt;width:54pt;height:21.75pt;z-index:251661312" stroked="f">
            <v:textbox>
              <w:txbxContent>
                <w:p w:rsidR="006E197E" w:rsidRPr="006E197E" w:rsidRDefault="006E197E" w:rsidP="006E197E">
                  <w:pPr>
                    <w:rPr>
                      <w:b/>
                    </w:rPr>
                  </w:pPr>
                  <w:r>
                    <w:rPr>
                      <w:b/>
                    </w:rPr>
                    <w:t>Assault*</w:t>
                  </w:r>
                </w:p>
              </w:txbxContent>
            </v:textbox>
          </v:shape>
        </w:pict>
      </w:r>
    </w:p>
    <w:p w:rsidR="006E197E" w:rsidRDefault="00176E6A" w:rsidP="00CB2A57">
      <w:pPr>
        <w:spacing w:after="0"/>
        <w:rPr>
          <w:sz w:val="24"/>
          <w:szCs w:val="24"/>
        </w:rPr>
      </w:pPr>
      <w:r>
        <w:rPr>
          <w:noProof/>
          <w:sz w:val="24"/>
          <w:szCs w:val="24"/>
        </w:rPr>
        <w:pict>
          <v:shape id="_x0000_s1038" type="#_x0000_t202" style="position:absolute;margin-left:174.75pt;margin-top:12.5pt;width:87pt;height:42.5pt;z-index:251670528" stroked="f">
            <v:textbox>
              <w:txbxContent>
                <w:p w:rsidR="00176E6A" w:rsidRDefault="00176E6A" w:rsidP="00176E6A">
                  <w:pPr>
                    <w:spacing w:after="0"/>
                    <w:jc w:val="center"/>
                    <w:rPr>
                      <w:b/>
                    </w:rPr>
                  </w:pPr>
                  <w:r>
                    <w:rPr>
                      <w:b/>
                    </w:rPr>
                    <w:t>2</w:t>
                  </w:r>
                  <w:r w:rsidRPr="006E197E">
                    <w:rPr>
                      <w:b/>
                      <w:vertAlign w:val="superscript"/>
                    </w:rPr>
                    <w:t>nd</w:t>
                  </w:r>
                  <w:r>
                    <w:rPr>
                      <w:b/>
                    </w:rPr>
                    <w:t xml:space="preserve"> Prosecution</w:t>
                  </w:r>
                </w:p>
                <w:p w:rsidR="00176E6A" w:rsidRPr="006E197E" w:rsidRDefault="00176E6A" w:rsidP="00176E6A">
                  <w:pPr>
                    <w:jc w:val="center"/>
                    <w:rPr>
                      <w:b/>
                    </w:rPr>
                  </w:pPr>
                  <w:r>
                    <w:rPr>
                      <w:b/>
                    </w:rPr>
                    <w:t>(Criminal)</w:t>
                  </w:r>
                </w:p>
              </w:txbxContent>
            </v:textbox>
          </v:shape>
        </w:pict>
      </w:r>
    </w:p>
    <w:p w:rsidR="00CB2A57" w:rsidRDefault="00CB2A57" w:rsidP="00CB2A57">
      <w:pPr>
        <w:spacing w:after="0"/>
        <w:rPr>
          <w:sz w:val="24"/>
          <w:szCs w:val="24"/>
        </w:rPr>
      </w:pPr>
    </w:p>
    <w:p w:rsidR="006E197E" w:rsidRDefault="006E197E" w:rsidP="00CB2A57">
      <w:pPr>
        <w:spacing w:after="0"/>
        <w:rPr>
          <w:sz w:val="24"/>
          <w:szCs w:val="24"/>
        </w:rPr>
      </w:pPr>
    </w:p>
    <w:p w:rsidR="006E197E" w:rsidRDefault="006E197E" w:rsidP="00CB2A57">
      <w:pPr>
        <w:spacing w:after="0"/>
        <w:rPr>
          <w:sz w:val="24"/>
          <w:szCs w:val="24"/>
        </w:rPr>
      </w:pPr>
    </w:p>
    <w:p w:rsidR="006E197E" w:rsidRDefault="006E197E" w:rsidP="00CB2A57">
      <w:pPr>
        <w:spacing w:after="0"/>
        <w:rPr>
          <w:sz w:val="24"/>
          <w:szCs w:val="24"/>
        </w:rPr>
      </w:pPr>
      <w:r>
        <w:rPr>
          <w:sz w:val="24"/>
          <w:szCs w:val="24"/>
        </w:rPr>
        <w:t>*Where ICC only consisted of assault</w:t>
      </w:r>
    </w:p>
    <w:p w:rsidR="00176E6A" w:rsidRDefault="00176E6A" w:rsidP="00CB2A57">
      <w:pPr>
        <w:spacing w:after="0"/>
        <w:rPr>
          <w:sz w:val="24"/>
          <w:szCs w:val="24"/>
        </w:rPr>
      </w:pPr>
    </w:p>
    <w:p w:rsidR="00176E6A" w:rsidRDefault="00176E6A" w:rsidP="00CB2A57">
      <w:pPr>
        <w:spacing w:after="0"/>
        <w:rPr>
          <w:sz w:val="24"/>
          <w:szCs w:val="24"/>
        </w:rPr>
      </w:pPr>
      <w:r>
        <w:rPr>
          <w:noProof/>
          <w:sz w:val="24"/>
          <w:szCs w:val="24"/>
        </w:rPr>
        <w:pict>
          <v:shape id="_x0000_s1037" type="#_x0000_t202" style="position:absolute;margin-left:-14.25pt;margin-top:.95pt;width:87pt;height:37.75pt;z-index:251669504" stroked="f">
            <v:textbox>
              <w:txbxContent>
                <w:p w:rsidR="00176E6A" w:rsidRPr="006E197E" w:rsidRDefault="00176E6A" w:rsidP="00176E6A">
                  <w:pPr>
                    <w:jc w:val="center"/>
                    <w:rPr>
                      <w:b/>
                    </w:rPr>
                  </w:pPr>
                  <w:r>
                    <w:rPr>
                      <w:b/>
                    </w:rPr>
                    <w:t>1st Conviction (ICC)</w:t>
                  </w:r>
                </w:p>
              </w:txbxContent>
            </v:textbox>
          </v:shape>
        </w:pict>
      </w:r>
      <w:r>
        <w:rPr>
          <w:noProof/>
          <w:sz w:val="24"/>
          <w:szCs w:val="24"/>
        </w:rPr>
        <w:pict>
          <v:oval id="_x0000_s1033" style="position:absolute;margin-left:38.25pt;margin-top:4.95pt;width:132pt;height:131.25pt;z-index:251665408"/>
        </w:pict>
      </w:r>
    </w:p>
    <w:p w:rsidR="00176E6A" w:rsidRDefault="00176E6A" w:rsidP="00CB2A57">
      <w:pPr>
        <w:spacing w:after="0"/>
        <w:rPr>
          <w:sz w:val="24"/>
          <w:szCs w:val="24"/>
        </w:rPr>
      </w:pPr>
      <w:r>
        <w:rPr>
          <w:noProof/>
          <w:sz w:val="24"/>
          <w:szCs w:val="24"/>
        </w:rPr>
        <w:pict>
          <v:shape id="_x0000_s1039" type="#_x0000_t202" style="position:absolute;margin-left:249pt;margin-top:13.6pt;width:87pt;height:43.5pt;z-index:251671552" stroked="f">
            <v:textbox>
              <w:txbxContent>
                <w:p w:rsidR="00176E6A" w:rsidRPr="006E197E" w:rsidRDefault="00176E6A" w:rsidP="00176E6A">
                  <w:pPr>
                    <w:jc w:val="center"/>
                    <w:rPr>
                      <w:b/>
                    </w:rPr>
                  </w:pPr>
                  <w:r>
                    <w:rPr>
                      <w:b/>
                    </w:rPr>
                    <w:t>= NO Double Jeopardy</w:t>
                  </w:r>
                </w:p>
              </w:txbxContent>
            </v:textbox>
          </v:shape>
        </w:pict>
      </w:r>
    </w:p>
    <w:p w:rsidR="00176E6A" w:rsidRDefault="00176E6A" w:rsidP="00CB2A57">
      <w:pPr>
        <w:spacing w:after="0"/>
        <w:rPr>
          <w:sz w:val="24"/>
          <w:szCs w:val="24"/>
        </w:rPr>
      </w:pPr>
      <w:r>
        <w:rPr>
          <w:noProof/>
          <w:sz w:val="24"/>
          <w:szCs w:val="24"/>
        </w:rPr>
        <w:pict>
          <v:oval id="_x0000_s1034" style="position:absolute;margin-left:132.75pt;margin-top:10.25pt;width:99.75pt;height:82.5pt;z-index:251666432">
            <v:fill opacity="0"/>
          </v:oval>
        </w:pict>
      </w:r>
    </w:p>
    <w:p w:rsidR="00176E6A" w:rsidRDefault="00176E6A" w:rsidP="00CB2A57">
      <w:pPr>
        <w:spacing w:after="0"/>
        <w:rPr>
          <w:sz w:val="24"/>
          <w:szCs w:val="24"/>
        </w:rPr>
      </w:pPr>
      <w:r>
        <w:rPr>
          <w:noProof/>
          <w:sz w:val="24"/>
          <w:szCs w:val="24"/>
        </w:rPr>
        <w:pict>
          <v:shape id="_x0000_s1036" type="#_x0000_t202" style="position:absolute;margin-left:63pt;margin-top:1.65pt;width:54pt;height:21.75pt;z-index:251668480" stroked="f">
            <v:textbox>
              <w:txbxContent>
                <w:p w:rsidR="00176E6A" w:rsidRPr="006E197E" w:rsidRDefault="00176E6A" w:rsidP="00176E6A">
                  <w:pPr>
                    <w:rPr>
                      <w:b/>
                    </w:rPr>
                  </w:pPr>
                  <w:r>
                    <w:rPr>
                      <w:b/>
                    </w:rPr>
                    <w:t>ICC*</w:t>
                  </w:r>
                </w:p>
              </w:txbxContent>
            </v:textbox>
          </v:shape>
        </w:pict>
      </w:r>
    </w:p>
    <w:p w:rsidR="00176E6A" w:rsidRDefault="00176E6A" w:rsidP="00CB2A57">
      <w:pPr>
        <w:spacing w:after="0"/>
        <w:rPr>
          <w:sz w:val="24"/>
          <w:szCs w:val="24"/>
        </w:rPr>
      </w:pPr>
      <w:r>
        <w:rPr>
          <w:noProof/>
          <w:sz w:val="24"/>
          <w:szCs w:val="24"/>
        </w:rPr>
        <w:pict>
          <v:shape id="_x0000_s1035" type="#_x0000_t202" style="position:absolute;margin-left:160.5pt;margin-top:6.55pt;width:54pt;height:21.75pt;z-index:251667456" stroked="f">
            <v:textbox>
              <w:txbxContent>
                <w:p w:rsidR="00176E6A" w:rsidRPr="006E197E" w:rsidRDefault="00176E6A" w:rsidP="00176E6A">
                  <w:pPr>
                    <w:rPr>
                      <w:b/>
                    </w:rPr>
                  </w:pPr>
                  <w:r>
                    <w:rPr>
                      <w:b/>
                    </w:rPr>
                    <w:t>Assault</w:t>
                  </w:r>
                </w:p>
              </w:txbxContent>
            </v:textbox>
          </v:shape>
        </w:pict>
      </w:r>
    </w:p>
    <w:p w:rsidR="00176E6A" w:rsidRDefault="00176E6A" w:rsidP="00CB2A57">
      <w:pPr>
        <w:spacing w:after="0"/>
        <w:rPr>
          <w:sz w:val="24"/>
          <w:szCs w:val="24"/>
        </w:rPr>
      </w:pPr>
    </w:p>
    <w:p w:rsidR="00176E6A" w:rsidRDefault="00176E6A" w:rsidP="00CB2A57">
      <w:pPr>
        <w:spacing w:after="0"/>
        <w:rPr>
          <w:sz w:val="24"/>
          <w:szCs w:val="24"/>
        </w:rPr>
      </w:pPr>
      <w:r>
        <w:rPr>
          <w:noProof/>
          <w:sz w:val="24"/>
          <w:szCs w:val="24"/>
        </w:rPr>
        <w:pict>
          <v:shape id="_x0000_s1031" type="#_x0000_t202" style="position:absolute;margin-left:183pt;margin-top:11.85pt;width:87pt;height:35.25pt;z-index:251663360" stroked="f">
            <v:textbox>
              <w:txbxContent>
                <w:p w:rsidR="006E197E" w:rsidRDefault="006E197E" w:rsidP="006E197E">
                  <w:pPr>
                    <w:spacing w:after="0"/>
                    <w:jc w:val="center"/>
                    <w:rPr>
                      <w:b/>
                    </w:rPr>
                  </w:pPr>
                  <w:r>
                    <w:rPr>
                      <w:b/>
                    </w:rPr>
                    <w:t>2</w:t>
                  </w:r>
                  <w:r w:rsidRPr="006E197E">
                    <w:rPr>
                      <w:b/>
                      <w:vertAlign w:val="superscript"/>
                    </w:rPr>
                    <w:t>nd</w:t>
                  </w:r>
                  <w:r>
                    <w:rPr>
                      <w:b/>
                    </w:rPr>
                    <w:t xml:space="preserve"> Prosecution</w:t>
                  </w:r>
                </w:p>
                <w:p w:rsidR="006E197E" w:rsidRPr="006E197E" w:rsidRDefault="006E197E" w:rsidP="006E197E">
                  <w:pPr>
                    <w:jc w:val="center"/>
                    <w:rPr>
                      <w:b/>
                    </w:rPr>
                  </w:pPr>
                  <w:r>
                    <w:rPr>
                      <w:b/>
                    </w:rPr>
                    <w:t>(Criminal)</w:t>
                  </w:r>
                </w:p>
              </w:txbxContent>
            </v:textbox>
          </v:shape>
        </w:pict>
      </w:r>
    </w:p>
    <w:p w:rsidR="00176E6A" w:rsidRDefault="00176E6A" w:rsidP="00CB2A57">
      <w:pPr>
        <w:spacing w:after="0"/>
        <w:rPr>
          <w:sz w:val="24"/>
          <w:szCs w:val="24"/>
        </w:rPr>
      </w:pPr>
    </w:p>
    <w:p w:rsidR="00176E6A" w:rsidRDefault="00176E6A" w:rsidP="00CB2A57">
      <w:pPr>
        <w:spacing w:after="0"/>
        <w:rPr>
          <w:sz w:val="24"/>
          <w:szCs w:val="24"/>
        </w:rPr>
      </w:pPr>
    </w:p>
    <w:p w:rsidR="00176E6A" w:rsidRDefault="00176E6A" w:rsidP="00CB2A57">
      <w:pPr>
        <w:spacing w:after="0"/>
        <w:rPr>
          <w:sz w:val="24"/>
          <w:szCs w:val="24"/>
        </w:rPr>
      </w:pPr>
      <w:r>
        <w:rPr>
          <w:sz w:val="24"/>
          <w:szCs w:val="24"/>
        </w:rPr>
        <w:t>*Where assault was only one element of the ICC.</w:t>
      </w:r>
    </w:p>
    <w:p w:rsidR="00176E6A" w:rsidRDefault="00176E6A" w:rsidP="00CB2A57">
      <w:pPr>
        <w:spacing w:after="0"/>
        <w:rPr>
          <w:sz w:val="24"/>
          <w:szCs w:val="24"/>
        </w:rPr>
      </w:pPr>
    </w:p>
    <w:p w:rsidR="00176E6A" w:rsidRDefault="00176E6A" w:rsidP="00176E6A">
      <w:pPr>
        <w:pStyle w:val="ListParagraph"/>
        <w:numPr>
          <w:ilvl w:val="0"/>
          <w:numId w:val="3"/>
        </w:numPr>
        <w:spacing w:after="0"/>
        <w:rPr>
          <w:sz w:val="24"/>
          <w:szCs w:val="24"/>
        </w:rPr>
      </w:pPr>
      <w:r>
        <w:rPr>
          <w:sz w:val="24"/>
          <w:szCs w:val="24"/>
        </w:rPr>
        <w:t>In the instant case, the criminal conviction happened FIRST, and the ICC is the part that’s being challenged.</w:t>
      </w:r>
      <w:r w:rsidR="002670FD">
        <w:rPr>
          <w:sz w:val="24"/>
          <w:szCs w:val="24"/>
        </w:rPr>
        <w:t xml:space="preserve">  ICC’s elements are completely different, so no DJ.</w:t>
      </w:r>
    </w:p>
    <w:p w:rsidR="00176E6A" w:rsidRDefault="00852B15" w:rsidP="00176E6A">
      <w:pPr>
        <w:spacing w:after="0"/>
        <w:rPr>
          <w:sz w:val="24"/>
          <w:szCs w:val="24"/>
        </w:rPr>
      </w:pPr>
      <w:r>
        <w:rPr>
          <w:noProof/>
          <w:sz w:val="24"/>
          <w:szCs w:val="24"/>
        </w:rPr>
        <w:pict>
          <v:shape id="_x0000_s1044" type="#_x0000_t202" style="position:absolute;margin-left:312.75pt;margin-top:-.45pt;width:87pt;height:35.25pt;z-index:251676672" stroked="f">
            <v:textbox>
              <w:txbxContent>
                <w:p w:rsidR="00176E6A" w:rsidRDefault="00176E6A" w:rsidP="00176E6A">
                  <w:pPr>
                    <w:spacing w:after="0"/>
                    <w:jc w:val="center"/>
                    <w:rPr>
                      <w:b/>
                    </w:rPr>
                  </w:pPr>
                  <w:r>
                    <w:rPr>
                      <w:b/>
                    </w:rPr>
                    <w:t>2</w:t>
                  </w:r>
                  <w:r w:rsidRPr="006E197E">
                    <w:rPr>
                      <w:b/>
                      <w:vertAlign w:val="superscript"/>
                    </w:rPr>
                    <w:t>nd</w:t>
                  </w:r>
                  <w:r>
                    <w:rPr>
                      <w:b/>
                    </w:rPr>
                    <w:t xml:space="preserve"> Prosecution</w:t>
                  </w:r>
                </w:p>
                <w:p w:rsidR="00176E6A" w:rsidRPr="006E197E" w:rsidRDefault="00176E6A" w:rsidP="00176E6A">
                  <w:pPr>
                    <w:jc w:val="center"/>
                    <w:rPr>
                      <w:b/>
                    </w:rPr>
                  </w:pPr>
                  <w:r>
                    <w:rPr>
                      <w:b/>
                    </w:rPr>
                    <w:t>(ICC)</w:t>
                  </w:r>
                </w:p>
              </w:txbxContent>
            </v:textbox>
          </v:shape>
        </w:pict>
      </w:r>
      <w:r>
        <w:rPr>
          <w:noProof/>
          <w:sz w:val="24"/>
          <w:szCs w:val="24"/>
        </w:rPr>
        <w:pict>
          <v:oval id="_x0000_s1040" style="position:absolute;margin-left:24pt;margin-top:8.1pt;width:131.25pt;height:113.1pt;z-index:251672576"/>
        </w:pict>
      </w:r>
      <w:r w:rsidR="002670FD">
        <w:rPr>
          <w:noProof/>
          <w:sz w:val="24"/>
          <w:szCs w:val="24"/>
        </w:rPr>
        <w:pict>
          <v:shape id="_x0000_s1045" type="#_x0000_t202" style="position:absolute;margin-left:204pt;margin-top:13.2pt;width:132pt;height:96pt;z-index:251677696" stroked="f">
            <v:fill opacity="0"/>
            <v:textbox>
              <w:txbxContent>
                <w:p w:rsidR="00176E6A" w:rsidRPr="002670FD" w:rsidRDefault="00176E6A" w:rsidP="002670FD">
                  <w:pPr>
                    <w:jc w:val="center"/>
                    <w:rPr>
                      <w:b/>
                      <w:u w:val="single"/>
                    </w:rPr>
                  </w:pPr>
                  <w:r w:rsidRPr="002670FD">
                    <w:rPr>
                      <w:b/>
                      <w:u w:val="single"/>
                    </w:rPr>
                    <w:t>ICC</w:t>
                  </w:r>
                </w:p>
                <w:p w:rsidR="002670FD" w:rsidRDefault="002670FD" w:rsidP="002670FD">
                  <w:pPr>
                    <w:jc w:val="center"/>
                    <w:rPr>
                      <w:b/>
                    </w:rPr>
                  </w:pPr>
                  <w:r>
                    <w:rPr>
                      <w:b/>
                    </w:rPr>
                    <w:t>Defiant Trespass</w:t>
                  </w:r>
                </w:p>
                <w:p w:rsidR="002670FD" w:rsidRPr="006E197E" w:rsidRDefault="002670FD" w:rsidP="002670FD">
                  <w:pPr>
                    <w:jc w:val="center"/>
                    <w:rPr>
                      <w:b/>
                    </w:rPr>
                  </w:pPr>
                  <w:r>
                    <w:rPr>
                      <w:b/>
                    </w:rPr>
                    <w:t>Attempted Assault</w:t>
                  </w:r>
                </w:p>
              </w:txbxContent>
            </v:textbox>
          </v:shape>
        </w:pict>
      </w:r>
      <w:r w:rsidR="002670FD">
        <w:rPr>
          <w:noProof/>
          <w:sz w:val="24"/>
          <w:szCs w:val="24"/>
        </w:rPr>
        <w:pict>
          <v:oval id="_x0000_s1041" style="position:absolute;margin-left:198.75pt;margin-top:-.45pt;width:141pt;height:121.65pt;z-index:251673600">
            <v:fill opacity="0"/>
          </v:oval>
        </w:pict>
      </w:r>
      <w:r w:rsidR="00176E6A">
        <w:rPr>
          <w:noProof/>
          <w:sz w:val="24"/>
          <w:szCs w:val="24"/>
        </w:rPr>
        <w:pict>
          <v:shape id="_x0000_s1042" type="#_x0000_t202" style="position:absolute;margin-left:-24pt;margin-top:8.1pt;width:87pt;height:35.25pt;z-index:251674624" stroked="f">
            <v:textbox>
              <w:txbxContent>
                <w:p w:rsidR="00176E6A" w:rsidRDefault="00176E6A" w:rsidP="00176E6A">
                  <w:pPr>
                    <w:spacing w:after="0"/>
                    <w:jc w:val="center"/>
                    <w:rPr>
                      <w:b/>
                    </w:rPr>
                  </w:pPr>
                  <w:r>
                    <w:rPr>
                      <w:b/>
                    </w:rPr>
                    <w:t>1</w:t>
                  </w:r>
                  <w:r w:rsidRPr="00176E6A">
                    <w:rPr>
                      <w:b/>
                      <w:vertAlign w:val="superscript"/>
                    </w:rPr>
                    <w:t>st</w:t>
                  </w:r>
                  <w:r>
                    <w:rPr>
                      <w:b/>
                    </w:rPr>
                    <w:t xml:space="preserve"> Conviction</w:t>
                  </w:r>
                </w:p>
                <w:p w:rsidR="00176E6A" w:rsidRPr="006E197E" w:rsidRDefault="00176E6A" w:rsidP="00176E6A">
                  <w:pPr>
                    <w:jc w:val="center"/>
                    <w:rPr>
                      <w:b/>
                    </w:rPr>
                  </w:pPr>
                  <w:r>
                    <w:rPr>
                      <w:b/>
                    </w:rPr>
                    <w:t>(Criminal)</w:t>
                  </w:r>
                </w:p>
              </w:txbxContent>
            </v:textbox>
          </v:shape>
        </w:pict>
      </w:r>
    </w:p>
    <w:p w:rsidR="00176E6A" w:rsidRDefault="00852B15" w:rsidP="00176E6A">
      <w:pPr>
        <w:spacing w:after="0"/>
        <w:rPr>
          <w:sz w:val="24"/>
          <w:szCs w:val="24"/>
        </w:rPr>
      </w:pPr>
      <w:r>
        <w:rPr>
          <w:noProof/>
          <w:sz w:val="24"/>
          <w:szCs w:val="24"/>
        </w:rPr>
        <w:pict>
          <v:shape id="_x0000_s1043" type="#_x0000_t202" style="position:absolute;margin-left:45.75pt;margin-top:13pt;width:102pt;height:74.85pt;z-index:251675648" stroked="f">
            <v:textbox>
              <w:txbxContent>
                <w:p w:rsidR="00176E6A" w:rsidRDefault="00176E6A" w:rsidP="00176E6A">
                  <w:pPr>
                    <w:rPr>
                      <w:b/>
                    </w:rPr>
                  </w:pPr>
                  <w:r>
                    <w:rPr>
                      <w:b/>
                    </w:rPr>
                    <w:t>Stalking</w:t>
                  </w:r>
                </w:p>
                <w:p w:rsidR="00176E6A" w:rsidRDefault="00176E6A" w:rsidP="00176E6A">
                  <w:pPr>
                    <w:rPr>
                      <w:b/>
                    </w:rPr>
                  </w:pPr>
                  <w:r>
                    <w:rPr>
                      <w:b/>
                    </w:rPr>
                    <w:t>Harassment</w:t>
                  </w:r>
                </w:p>
                <w:p w:rsidR="00176E6A" w:rsidRPr="006E197E" w:rsidRDefault="00176E6A" w:rsidP="00176E6A">
                  <w:pPr>
                    <w:rPr>
                      <w:b/>
                    </w:rPr>
                  </w:pPr>
                  <w:r>
                    <w:rPr>
                      <w:b/>
                    </w:rPr>
                    <w:t>Criminal   Mischief</w:t>
                  </w:r>
                </w:p>
              </w:txbxContent>
            </v:textbox>
          </v:shape>
        </w:pict>
      </w:r>
    </w:p>
    <w:p w:rsidR="00176E6A" w:rsidRDefault="00176E6A" w:rsidP="00176E6A">
      <w:pPr>
        <w:spacing w:after="0"/>
        <w:rPr>
          <w:sz w:val="24"/>
          <w:szCs w:val="24"/>
        </w:rPr>
      </w:pPr>
    </w:p>
    <w:p w:rsidR="00176E6A" w:rsidRDefault="00176E6A" w:rsidP="00176E6A">
      <w:pPr>
        <w:spacing w:after="0"/>
        <w:rPr>
          <w:sz w:val="24"/>
          <w:szCs w:val="24"/>
        </w:rPr>
      </w:pPr>
    </w:p>
    <w:p w:rsidR="00176E6A" w:rsidRDefault="00176E6A" w:rsidP="00176E6A">
      <w:pPr>
        <w:spacing w:after="0"/>
        <w:rPr>
          <w:sz w:val="24"/>
          <w:szCs w:val="24"/>
        </w:rPr>
      </w:pPr>
    </w:p>
    <w:p w:rsidR="00176E6A" w:rsidRDefault="00176E6A" w:rsidP="00176E6A">
      <w:pPr>
        <w:spacing w:after="0"/>
        <w:rPr>
          <w:sz w:val="24"/>
          <w:szCs w:val="24"/>
        </w:rPr>
      </w:pPr>
    </w:p>
    <w:p w:rsidR="00176E6A" w:rsidRDefault="00176E6A" w:rsidP="00176E6A">
      <w:pPr>
        <w:spacing w:after="0"/>
        <w:rPr>
          <w:sz w:val="24"/>
          <w:szCs w:val="24"/>
        </w:rPr>
      </w:pPr>
    </w:p>
    <w:p w:rsidR="00176E6A" w:rsidRDefault="00176E6A" w:rsidP="00176E6A">
      <w:pPr>
        <w:spacing w:after="0"/>
        <w:rPr>
          <w:sz w:val="24"/>
          <w:szCs w:val="24"/>
        </w:rPr>
      </w:pPr>
    </w:p>
    <w:p w:rsidR="002670FD" w:rsidRPr="002670FD" w:rsidRDefault="00852B15" w:rsidP="002670FD">
      <w:pPr>
        <w:pStyle w:val="ListParagraph"/>
        <w:numPr>
          <w:ilvl w:val="0"/>
          <w:numId w:val="3"/>
        </w:numPr>
        <w:spacing w:after="0"/>
        <w:rPr>
          <w:sz w:val="24"/>
          <w:szCs w:val="24"/>
        </w:rPr>
      </w:pPr>
      <w:r w:rsidRPr="002670FD">
        <w:rPr>
          <w:color w:val="171E22"/>
        </w:rPr>
        <w:t xml:space="preserve"> </w:t>
      </w:r>
      <w:r w:rsidR="002670FD" w:rsidRPr="002670FD">
        <w:rPr>
          <w:color w:val="171E22"/>
        </w:rPr>
        <w:t xml:space="preserve">“Defiant trespass is a third degree misdemeanor, 18 </w:t>
      </w:r>
      <w:proofErr w:type="spellStart"/>
      <w:r w:rsidR="002670FD" w:rsidRPr="002670FD">
        <w:rPr>
          <w:color w:val="171E22"/>
        </w:rPr>
        <w:t>Pa.C.S.A</w:t>
      </w:r>
      <w:proofErr w:type="spellEnd"/>
      <w:r w:rsidR="002670FD" w:rsidRPr="002670FD">
        <w:rPr>
          <w:color w:val="171E22"/>
        </w:rPr>
        <w:t>. § 3503 (b</w:t>
      </w:r>
      <w:proofErr w:type="gramStart"/>
      <w:r w:rsidR="002670FD" w:rsidRPr="002670FD">
        <w:rPr>
          <w:color w:val="171E22"/>
        </w:rPr>
        <w:t>)(</w:t>
      </w:r>
      <w:proofErr w:type="gramEnd"/>
      <w:r w:rsidR="002670FD" w:rsidRPr="002670FD">
        <w:rPr>
          <w:color w:val="171E22"/>
        </w:rPr>
        <w:t>2), whereas criminal trespass is a second or third degree felony,</w:t>
      </w:r>
      <w:r w:rsidR="002670FD" w:rsidRPr="002670FD">
        <w:rPr>
          <w:rStyle w:val="apple-converted-space"/>
          <w:color w:val="171E22"/>
        </w:rPr>
        <w:t> </w:t>
      </w:r>
      <w:r w:rsidR="002670FD" w:rsidRPr="002670FD">
        <w:rPr>
          <w:i/>
          <w:iCs/>
          <w:color w:val="171E22"/>
        </w:rPr>
        <w:t>id.,</w:t>
      </w:r>
      <w:r w:rsidR="002670FD" w:rsidRPr="002670FD">
        <w:rPr>
          <w:rStyle w:val="apple-converted-space"/>
          <w:color w:val="171E22"/>
        </w:rPr>
        <w:t> </w:t>
      </w:r>
      <w:r w:rsidR="002670FD" w:rsidRPr="002670FD">
        <w:rPr>
          <w:color w:val="171E22"/>
        </w:rPr>
        <w:t>§ 3503(a)(2).”</w:t>
      </w:r>
      <w:r w:rsidR="002670FD" w:rsidRPr="002670FD">
        <w:rPr>
          <w:rStyle w:val="apple-converted-space"/>
          <w:color w:val="171E22"/>
        </w:rPr>
        <w:t> </w:t>
      </w:r>
      <w:r w:rsidR="002670FD" w:rsidRPr="002670FD">
        <w:rPr>
          <w:i/>
          <w:iCs/>
          <w:color w:val="171E22"/>
        </w:rPr>
        <w:t>Leonard v. Smith</w:t>
      </w:r>
      <w:r w:rsidR="002670FD" w:rsidRPr="002670FD">
        <w:rPr>
          <w:color w:val="171E22"/>
        </w:rPr>
        <w:t>, 454 Pa. Super. 51, 56 n.6 (Pa. Super. Ct. 1996)</w:t>
      </w:r>
    </w:p>
    <w:p w:rsidR="00176E6A" w:rsidRPr="00176E6A" w:rsidRDefault="00176E6A" w:rsidP="00176E6A">
      <w:pPr>
        <w:spacing w:after="0"/>
        <w:rPr>
          <w:sz w:val="24"/>
          <w:szCs w:val="24"/>
        </w:rPr>
      </w:pPr>
    </w:p>
    <w:sectPr w:rsidR="00176E6A" w:rsidRPr="00176E6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504C" w:rsidRDefault="00B3504C" w:rsidP="00E16E68">
      <w:pPr>
        <w:spacing w:after="0" w:line="240" w:lineRule="auto"/>
      </w:pPr>
      <w:r>
        <w:separator/>
      </w:r>
    </w:p>
  </w:endnote>
  <w:endnote w:type="continuationSeparator" w:id="0">
    <w:p w:rsidR="00B3504C" w:rsidRDefault="00B3504C"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504C" w:rsidRDefault="00B3504C" w:rsidP="00E16E68">
      <w:pPr>
        <w:spacing w:after="0" w:line="240" w:lineRule="auto"/>
      </w:pPr>
      <w:r>
        <w:separator/>
      </w:r>
    </w:p>
  </w:footnote>
  <w:footnote w:type="continuationSeparator" w:id="0">
    <w:p w:rsidR="00B3504C" w:rsidRDefault="00B3504C"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CB2A57">
      <w:t>1996</w:t>
    </w:r>
    <w:r w:rsidR="00E16E68">
      <w:tab/>
    </w:r>
    <w:r w:rsidR="00CB2A57">
      <w:t>Leonard v. Smith</w:t>
    </w:r>
  </w:p>
  <w:p w:rsidR="00F95A0E" w:rsidRDefault="00F95A0E" w:rsidP="00F95A0E">
    <w:pPr>
      <w:pStyle w:val="Header"/>
      <w:jc w:val="right"/>
    </w:pPr>
    <w:r>
      <w:tab/>
    </w:r>
    <w:r>
      <w:tab/>
    </w:r>
    <w:r w:rsidR="00E14F33">
      <w:t>DOUBLE JEOPARDY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B2FDB"/>
    <w:multiLevelType w:val="hybridMultilevel"/>
    <w:tmpl w:val="F5E4D616"/>
    <w:lvl w:ilvl="0" w:tplc="926A859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495009"/>
    <w:multiLevelType w:val="hybridMultilevel"/>
    <w:tmpl w:val="61D8EF32"/>
    <w:lvl w:ilvl="0" w:tplc="926A859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176E6A"/>
    <w:rsid w:val="002670FD"/>
    <w:rsid w:val="005F2C53"/>
    <w:rsid w:val="00692188"/>
    <w:rsid w:val="006A18CC"/>
    <w:rsid w:val="006E197E"/>
    <w:rsid w:val="0071455B"/>
    <w:rsid w:val="007B337C"/>
    <w:rsid w:val="00852B15"/>
    <w:rsid w:val="009645CA"/>
    <w:rsid w:val="00A20DAD"/>
    <w:rsid w:val="00A41926"/>
    <w:rsid w:val="00A56A0E"/>
    <w:rsid w:val="00AA40E8"/>
    <w:rsid w:val="00B3504C"/>
    <w:rsid w:val="00C5621B"/>
    <w:rsid w:val="00CB2A57"/>
    <w:rsid w:val="00E14F33"/>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CB2A5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498</Words>
  <Characters>2843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2017-05-10T14:07:00Z</cp:lastPrinted>
  <dcterms:created xsi:type="dcterms:W3CDTF">2017-05-10T14:10:00Z</dcterms:created>
  <dcterms:modified xsi:type="dcterms:W3CDTF">2017-05-10T14:10:00Z</dcterms:modified>
</cp:coreProperties>
</file>