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DB631B" w:rsidP="00C87419">
      <w:pPr>
        <w:spacing w:after="0"/>
        <w:jc w:val="center"/>
        <w:rPr>
          <w:b/>
          <w:sz w:val="24"/>
          <w:szCs w:val="24"/>
        </w:rPr>
      </w:pPr>
      <w:r>
        <w:rPr>
          <w:b/>
          <w:sz w:val="24"/>
          <w:szCs w:val="24"/>
        </w:rPr>
        <w:t xml:space="preserve">Fifth </w:t>
      </w:r>
      <w:r w:rsidR="00496F39">
        <w:rPr>
          <w:b/>
          <w:sz w:val="24"/>
          <w:szCs w:val="24"/>
        </w:rPr>
        <w:t>Circuit Court</w:t>
      </w:r>
    </w:p>
    <w:p w:rsidR="00C87419" w:rsidRDefault="00C87419" w:rsidP="00C87419">
      <w:pPr>
        <w:spacing w:after="0"/>
        <w:jc w:val="center"/>
        <w:rPr>
          <w:b/>
          <w:sz w:val="24"/>
          <w:szCs w:val="24"/>
        </w:rPr>
      </w:pPr>
    </w:p>
    <w:p w:rsidR="00E16E68" w:rsidRPr="00DB631B" w:rsidRDefault="00E16E68" w:rsidP="00C87419">
      <w:pPr>
        <w:spacing w:after="0"/>
        <w:rPr>
          <w:sz w:val="24"/>
          <w:szCs w:val="24"/>
        </w:rPr>
      </w:pPr>
      <w:r>
        <w:rPr>
          <w:b/>
          <w:sz w:val="24"/>
          <w:szCs w:val="24"/>
        </w:rPr>
        <w:t>Case:</w:t>
      </w:r>
      <w:r w:rsidR="00DB631B">
        <w:rPr>
          <w:sz w:val="24"/>
          <w:szCs w:val="24"/>
        </w:rPr>
        <w:t xml:space="preserve"> </w:t>
      </w:r>
      <w:proofErr w:type="spellStart"/>
      <w:r w:rsidR="00DB631B">
        <w:rPr>
          <w:i/>
          <w:sz w:val="24"/>
          <w:szCs w:val="24"/>
        </w:rPr>
        <w:t>Karmjot</w:t>
      </w:r>
      <w:proofErr w:type="spellEnd"/>
      <w:r w:rsidR="00DB631B">
        <w:rPr>
          <w:i/>
          <w:sz w:val="24"/>
          <w:szCs w:val="24"/>
        </w:rPr>
        <w:t xml:space="preserve"> Singh v. Jefferson B. Sessions, A.G.</w:t>
      </w:r>
      <w:r w:rsidR="00DB631B">
        <w:rPr>
          <w:sz w:val="24"/>
          <w:szCs w:val="24"/>
        </w:rPr>
        <w:tab/>
      </w:r>
      <w:r w:rsidR="00DB631B">
        <w:rPr>
          <w:sz w:val="24"/>
          <w:szCs w:val="24"/>
        </w:rPr>
        <w:tab/>
      </w:r>
      <w:r w:rsidR="00DB631B">
        <w:rPr>
          <w:sz w:val="24"/>
          <w:szCs w:val="24"/>
        </w:rPr>
        <w:tab/>
      </w:r>
      <w:r w:rsidR="00DB631B">
        <w:rPr>
          <w:b/>
          <w:sz w:val="24"/>
          <w:szCs w:val="24"/>
        </w:rPr>
        <w:t>Date:</w:t>
      </w:r>
      <w:r w:rsidR="00DB631B">
        <w:rPr>
          <w:sz w:val="24"/>
          <w:szCs w:val="24"/>
        </w:rPr>
        <w:t xml:space="preserve"> Aug. 2, 2018</w:t>
      </w:r>
    </w:p>
    <w:p w:rsidR="00C87419" w:rsidRDefault="00C87419" w:rsidP="00C87419">
      <w:pPr>
        <w:spacing w:after="0"/>
        <w:rPr>
          <w:b/>
          <w:sz w:val="24"/>
          <w:szCs w:val="24"/>
        </w:rPr>
      </w:pPr>
    </w:p>
    <w:p w:rsidR="00E16E68" w:rsidRPr="00DB631B" w:rsidRDefault="00E16E68" w:rsidP="00C87419">
      <w:pPr>
        <w:spacing w:after="0"/>
        <w:rPr>
          <w:sz w:val="24"/>
          <w:szCs w:val="24"/>
        </w:rPr>
      </w:pPr>
      <w:r>
        <w:rPr>
          <w:b/>
          <w:sz w:val="24"/>
          <w:szCs w:val="24"/>
        </w:rPr>
        <w:t>Judge</w:t>
      </w:r>
      <w:r w:rsidR="00DB631B">
        <w:rPr>
          <w:b/>
          <w:sz w:val="24"/>
          <w:szCs w:val="24"/>
        </w:rPr>
        <w:t>s</w:t>
      </w:r>
      <w:r>
        <w:rPr>
          <w:b/>
          <w:sz w:val="24"/>
          <w:szCs w:val="24"/>
        </w:rPr>
        <w:t>:</w:t>
      </w:r>
      <w:r w:rsidR="00DB631B">
        <w:rPr>
          <w:sz w:val="24"/>
          <w:szCs w:val="24"/>
        </w:rPr>
        <w:t xml:space="preserve"> Circuit Judges Davis, Haynes, &amp; Duncan</w:t>
      </w:r>
      <w:r w:rsidRPr="00496F39">
        <w:rPr>
          <w:sz w:val="24"/>
          <w:szCs w:val="24"/>
        </w:rPr>
        <w:tab/>
      </w:r>
      <w:r>
        <w:rPr>
          <w:b/>
          <w:sz w:val="24"/>
          <w:szCs w:val="24"/>
        </w:rPr>
        <w:tab/>
      </w:r>
      <w:r>
        <w:rPr>
          <w:b/>
          <w:sz w:val="24"/>
          <w:szCs w:val="24"/>
        </w:rPr>
        <w:tab/>
      </w:r>
      <w:r w:rsidR="00DB631B">
        <w:rPr>
          <w:b/>
          <w:sz w:val="24"/>
          <w:szCs w:val="24"/>
        </w:rPr>
        <w:t>Opinion:</w:t>
      </w:r>
      <w:r w:rsidR="00DB631B">
        <w:rPr>
          <w:sz w:val="24"/>
          <w:szCs w:val="24"/>
        </w:rPr>
        <w:t xml:space="preserve"> W. Eugene Davis</w:t>
      </w:r>
      <w:r>
        <w:rPr>
          <w:b/>
          <w:sz w:val="24"/>
          <w:szCs w:val="24"/>
        </w:rPr>
        <w:tab/>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Tags:</w:t>
      </w:r>
      <w:r w:rsidR="00496F39">
        <w:rPr>
          <w:sz w:val="24"/>
          <w:szCs w:val="24"/>
        </w:rPr>
        <w:t xml:space="preserve"> </w:t>
      </w:r>
      <w:r w:rsidR="00DB631B">
        <w:rPr>
          <w:sz w:val="24"/>
          <w:szCs w:val="24"/>
        </w:rPr>
        <w:t>Immigration, BIA, immigration judge, asylum, Sikh</w:t>
      </w:r>
      <w:r w:rsidR="00E11B80">
        <w:rPr>
          <w:sz w:val="24"/>
          <w:szCs w:val="24"/>
        </w:rPr>
        <w:t>, India, safe relocation, political persecution</w:t>
      </w:r>
    </w:p>
    <w:p w:rsidR="00C87419" w:rsidRDefault="00C87419" w:rsidP="00C87419">
      <w:pPr>
        <w:spacing w:after="0"/>
        <w:rPr>
          <w:b/>
          <w:sz w:val="24"/>
          <w:szCs w:val="24"/>
        </w:rPr>
      </w:pPr>
    </w:p>
    <w:p w:rsidR="00496F39" w:rsidRPr="000B0646" w:rsidRDefault="00496F39" w:rsidP="00496F39">
      <w:pPr>
        <w:spacing w:after="0"/>
        <w:rPr>
          <w:sz w:val="24"/>
          <w:szCs w:val="24"/>
        </w:rPr>
      </w:pPr>
      <w:r>
        <w:rPr>
          <w:b/>
          <w:sz w:val="24"/>
          <w:szCs w:val="24"/>
        </w:rPr>
        <w:t>Gravamen/Question(s) at issue:</w:t>
      </w:r>
      <w:r w:rsidR="000B0646">
        <w:rPr>
          <w:sz w:val="24"/>
          <w:szCs w:val="24"/>
        </w:rPr>
        <w:t xml:space="preserve"> Did DHS meet its burden of proof regarding Mr. Singh’s asylum claim?</w:t>
      </w:r>
    </w:p>
    <w:p w:rsidR="00496F39" w:rsidRPr="00496F39" w:rsidRDefault="00496F39" w:rsidP="00C87419">
      <w:pPr>
        <w:spacing w:after="0"/>
        <w:rPr>
          <w:sz w:val="24"/>
          <w:szCs w:val="24"/>
        </w:rPr>
      </w:pPr>
    </w:p>
    <w:p w:rsidR="00E16E68" w:rsidRPr="000B0646" w:rsidRDefault="00E16E68" w:rsidP="00C87419">
      <w:pPr>
        <w:spacing w:after="0"/>
        <w:rPr>
          <w:sz w:val="24"/>
          <w:szCs w:val="24"/>
        </w:rPr>
      </w:pPr>
      <w:r>
        <w:rPr>
          <w:b/>
          <w:sz w:val="24"/>
          <w:szCs w:val="24"/>
        </w:rPr>
        <w:t>Holdings:</w:t>
      </w:r>
      <w:r w:rsidR="000B0646">
        <w:rPr>
          <w:sz w:val="24"/>
          <w:szCs w:val="24"/>
        </w:rPr>
        <w:t xml:space="preserve"> BIA did not produce substantial evidence to show no risk if Singh was returned to India. </w:t>
      </w:r>
      <w:proofErr w:type="gramStart"/>
      <w:r w:rsidR="000B0646">
        <w:rPr>
          <w:sz w:val="24"/>
          <w:szCs w:val="24"/>
        </w:rPr>
        <w:t>Court grants petition for review and remands</w:t>
      </w:r>
      <w:proofErr w:type="gramEnd"/>
      <w:r w:rsidR="000B0646">
        <w:rPr>
          <w:sz w:val="24"/>
          <w:szCs w:val="24"/>
        </w:rPr>
        <w:t xml:space="preserve"> the case to the DHS “to exercise its discretion with regards to Singh’s asylum claim.” (2)</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Rationale:</w:t>
      </w:r>
    </w:p>
    <w:p w:rsidR="00094193" w:rsidRDefault="00094193" w:rsidP="00094193">
      <w:pPr>
        <w:pStyle w:val="ListParagraph"/>
        <w:numPr>
          <w:ilvl w:val="0"/>
          <w:numId w:val="2"/>
        </w:numPr>
        <w:spacing w:after="0"/>
        <w:rPr>
          <w:sz w:val="24"/>
          <w:szCs w:val="24"/>
        </w:rPr>
      </w:pPr>
      <w:r>
        <w:rPr>
          <w:sz w:val="24"/>
          <w:szCs w:val="24"/>
        </w:rPr>
        <w:t>BIA actually produced no evidence at all that moving elsewhere would keep this man safe.</w:t>
      </w:r>
    </w:p>
    <w:p w:rsidR="005D3C6B" w:rsidRDefault="005D3C6B" w:rsidP="00094193">
      <w:pPr>
        <w:pStyle w:val="ListParagraph"/>
        <w:numPr>
          <w:ilvl w:val="0"/>
          <w:numId w:val="2"/>
        </w:numPr>
        <w:spacing w:after="0"/>
        <w:rPr>
          <w:sz w:val="24"/>
          <w:szCs w:val="24"/>
        </w:rPr>
      </w:pPr>
      <w:r>
        <w:rPr>
          <w:sz w:val="24"/>
          <w:szCs w:val="24"/>
        </w:rPr>
        <w:t xml:space="preserve">His moving around as a child has no probative value here. </w:t>
      </w:r>
    </w:p>
    <w:p w:rsidR="005D3C6B" w:rsidRDefault="005D3C6B" w:rsidP="00094193">
      <w:pPr>
        <w:pStyle w:val="ListParagraph"/>
        <w:numPr>
          <w:ilvl w:val="0"/>
          <w:numId w:val="2"/>
        </w:numPr>
        <w:spacing w:after="0"/>
        <w:rPr>
          <w:sz w:val="24"/>
          <w:szCs w:val="24"/>
        </w:rPr>
      </w:pPr>
      <w:r>
        <w:rPr>
          <w:sz w:val="24"/>
          <w:szCs w:val="24"/>
        </w:rPr>
        <w:t xml:space="preserve">His safety </w:t>
      </w:r>
      <w:r>
        <w:rPr>
          <w:i/>
          <w:sz w:val="24"/>
          <w:szCs w:val="24"/>
        </w:rPr>
        <w:t>while in hiding</w:t>
      </w:r>
      <w:r>
        <w:rPr>
          <w:sz w:val="24"/>
          <w:szCs w:val="24"/>
        </w:rPr>
        <w:t xml:space="preserve"> is also not relevant. “The case law is clear that an alien cannot be forced to live in hiding in order to avoid persecution.” (6)</w:t>
      </w:r>
    </w:p>
    <w:p w:rsidR="005D3C6B" w:rsidRDefault="005D3C6B" w:rsidP="00094193">
      <w:pPr>
        <w:pStyle w:val="ListParagraph"/>
        <w:numPr>
          <w:ilvl w:val="0"/>
          <w:numId w:val="2"/>
        </w:numPr>
        <w:spacing w:after="0"/>
        <w:rPr>
          <w:sz w:val="24"/>
          <w:szCs w:val="24"/>
        </w:rPr>
      </w:pPr>
      <w:r>
        <w:rPr>
          <w:sz w:val="24"/>
          <w:szCs w:val="24"/>
        </w:rPr>
        <w:t xml:space="preserve">Personal feud idea not supported by record. “Although Singh knew the names of two of the Congress Party </w:t>
      </w:r>
      <w:proofErr w:type="gramStart"/>
      <w:r>
        <w:rPr>
          <w:sz w:val="24"/>
          <w:szCs w:val="24"/>
        </w:rPr>
        <w:t>attackers, his persecution was</w:t>
      </w:r>
      <w:proofErr w:type="gramEnd"/>
      <w:r>
        <w:rPr>
          <w:sz w:val="24"/>
          <w:szCs w:val="24"/>
        </w:rPr>
        <w:t>, as the IJ found, based on his political opinion.” (7)</w:t>
      </w:r>
    </w:p>
    <w:p w:rsidR="005D3C6B" w:rsidRPr="00094193" w:rsidRDefault="005D3C6B" w:rsidP="00094193">
      <w:pPr>
        <w:pStyle w:val="ListParagraph"/>
        <w:numPr>
          <w:ilvl w:val="0"/>
          <w:numId w:val="2"/>
        </w:numPr>
        <w:spacing w:after="0"/>
        <w:rPr>
          <w:sz w:val="24"/>
          <w:szCs w:val="24"/>
        </w:rPr>
      </w:pPr>
      <w:r>
        <w:rPr>
          <w:sz w:val="24"/>
          <w:szCs w:val="24"/>
        </w:rPr>
        <w:t>Completion of 12</w:t>
      </w:r>
      <w:r w:rsidRPr="005D3C6B">
        <w:rPr>
          <w:sz w:val="24"/>
          <w:szCs w:val="24"/>
          <w:vertAlign w:val="superscript"/>
        </w:rPr>
        <w:t>th</w:t>
      </w:r>
      <w:r>
        <w:rPr>
          <w:sz w:val="24"/>
          <w:szCs w:val="24"/>
        </w:rPr>
        <w:t xml:space="preserve"> grade may have some probative value for deciding whether it’s </w:t>
      </w:r>
      <w:r>
        <w:rPr>
          <w:i/>
          <w:sz w:val="24"/>
          <w:szCs w:val="24"/>
        </w:rPr>
        <w:t>reasonable</w:t>
      </w:r>
      <w:r>
        <w:rPr>
          <w:sz w:val="24"/>
          <w:szCs w:val="24"/>
        </w:rPr>
        <w:t xml:space="preserve"> for him to relocate, but none re. </w:t>
      </w:r>
      <w:proofErr w:type="gramStart"/>
      <w:r>
        <w:rPr>
          <w:sz w:val="24"/>
          <w:szCs w:val="24"/>
        </w:rPr>
        <w:t>whether</w:t>
      </w:r>
      <w:proofErr w:type="gramEnd"/>
      <w:r>
        <w:rPr>
          <w:sz w:val="24"/>
          <w:szCs w:val="24"/>
        </w:rPr>
        <w:t xml:space="preserve"> he’d be </w:t>
      </w:r>
      <w:r>
        <w:rPr>
          <w:i/>
          <w:sz w:val="24"/>
          <w:szCs w:val="24"/>
        </w:rPr>
        <w:t>safe</w:t>
      </w:r>
      <w:r>
        <w:rPr>
          <w:sz w:val="24"/>
          <w:szCs w:val="24"/>
        </w:rPr>
        <w:t>.</w:t>
      </w:r>
    </w:p>
    <w:p w:rsidR="00C87419" w:rsidRDefault="00C87419" w:rsidP="00C87419">
      <w:pPr>
        <w:spacing w:after="0"/>
        <w:rPr>
          <w:b/>
          <w:sz w:val="24"/>
          <w:szCs w:val="24"/>
        </w:rPr>
      </w:pPr>
    </w:p>
    <w:p w:rsidR="00DB631B" w:rsidRDefault="00DB631B" w:rsidP="00DB631B">
      <w:pPr>
        <w:spacing w:after="0"/>
        <w:rPr>
          <w:sz w:val="24"/>
          <w:szCs w:val="24"/>
        </w:rPr>
      </w:pPr>
      <w:r>
        <w:rPr>
          <w:b/>
          <w:sz w:val="24"/>
          <w:szCs w:val="24"/>
        </w:rPr>
        <w:t>Facts:</w:t>
      </w:r>
      <w:r>
        <w:rPr>
          <w:sz w:val="24"/>
          <w:szCs w:val="24"/>
        </w:rPr>
        <w:t xml:space="preserve"> </w:t>
      </w:r>
    </w:p>
    <w:p w:rsidR="00DB631B" w:rsidRPr="00DB631B" w:rsidRDefault="00DB631B" w:rsidP="00DB631B">
      <w:pPr>
        <w:pStyle w:val="ListParagraph"/>
        <w:numPr>
          <w:ilvl w:val="0"/>
          <w:numId w:val="1"/>
        </w:numPr>
        <w:spacing w:after="0"/>
        <w:rPr>
          <w:sz w:val="24"/>
          <w:szCs w:val="24"/>
        </w:rPr>
      </w:pPr>
      <w:r>
        <w:rPr>
          <w:sz w:val="24"/>
          <w:szCs w:val="24"/>
        </w:rPr>
        <w:t>21-year-old native of India, practicing Sikh:</w:t>
      </w:r>
      <w:r w:rsidR="000B0646">
        <w:rPr>
          <w:sz w:val="24"/>
          <w:szCs w:val="24"/>
        </w:rPr>
        <w:t xml:space="preserve"> Politically active after high school, threatened by opposition party and police; fled to Cuba, MX, then crossed into U.S.; applied for asylum;</w:t>
      </w:r>
      <w:r>
        <w:rPr>
          <w:sz w:val="24"/>
          <w:szCs w:val="24"/>
        </w:rPr>
        <w:t xml:space="preserve"> was </w:t>
      </w:r>
      <w:r w:rsidR="000B0646">
        <w:rPr>
          <w:sz w:val="24"/>
          <w:szCs w:val="24"/>
        </w:rPr>
        <w:t>found credible, but request was denied by immigration judge because DHS had established that Singh could safely relocate elsewhere in India.</w:t>
      </w:r>
    </w:p>
    <w:p w:rsidR="00DB631B" w:rsidRDefault="00DB631B" w:rsidP="00DB631B">
      <w:pPr>
        <w:spacing w:after="0"/>
        <w:rPr>
          <w:b/>
          <w:sz w:val="24"/>
          <w:szCs w:val="24"/>
        </w:rPr>
      </w:pPr>
    </w:p>
    <w:p w:rsidR="00DB631B" w:rsidRDefault="00DB631B" w:rsidP="00DB631B">
      <w:pPr>
        <w:spacing w:after="0"/>
        <w:rPr>
          <w:sz w:val="24"/>
          <w:szCs w:val="24"/>
        </w:rPr>
      </w:pPr>
      <w:r>
        <w:rPr>
          <w:b/>
          <w:sz w:val="24"/>
          <w:szCs w:val="24"/>
        </w:rPr>
        <w:t>Prior Appeals &amp; Trial Court Input:</w:t>
      </w:r>
    </w:p>
    <w:p w:rsidR="005D3C6B" w:rsidRDefault="005D3C6B" w:rsidP="007E49D0">
      <w:pPr>
        <w:pStyle w:val="ListParagraph"/>
        <w:numPr>
          <w:ilvl w:val="0"/>
          <w:numId w:val="1"/>
        </w:numPr>
        <w:spacing w:after="0"/>
        <w:rPr>
          <w:sz w:val="24"/>
          <w:szCs w:val="24"/>
        </w:rPr>
      </w:pPr>
      <w:r>
        <w:rPr>
          <w:sz w:val="24"/>
          <w:szCs w:val="24"/>
        </w:rPr>
        <w:t xml:space="preserve">DHS’s argument about relocation was “at best perfunctory” (the </w:t>
      </w:r>
      <w:proofErr w:type="spellStart"/>
      <w:r>
        <w:rPr>
          <w:sz w:val="24"/>
          <w:szCs w:val="24"/>
        </w:rPr>
        <w:t>gov’t</w:t>
      </w:r>
      <w:proofErr w:type="spellEnd"/>
      <w:r>
        <w:rPr>
          <w:sz w:val="24"/>
          <w:szCs w:val="24"/>
        </w:rPr>
        <w:t xml:space="preserve"> spent much more time on whether Singh had established past persecution), so the IJ and the BIA constructed their conclusion out of the evidence presented by Singh.</w:t>
      </w:r>
    </w:p>
    <w:p w:rsidR="005D3C6B" w:rsidRDefault="005D3C6B" w:rsidP="007E49D0">
      <w:pPr>
        <w:pStyle w:val="ListParagraph"/>
        <w:numPr>
          <w:ilvl w:val="0"/>
          <w:numId w:val="1"/>
        </w:numPr>
        <w:spacing w:after="0"/>
        <w:rPr>
          <w:sz w:val="24"/>
          <w:szCs w:val="24"/>
        </w:rPr>
      </w:pPr>
      <w:r>
        <w:rPr>
          <w:sz w:val="24"/>
          <w:szCs w:val="24"/>
        </w:rPr>
        <w:t xml:space="preserve">IJ &amp; BIA referred to non-documentary evidence of safety &amp; reasonableness: </w:t>
      </w:r>
    </w:p>
    <w:p w:rsidR="005D3C6B" w:rsidRDefault="005D3C6B" w:rsidP="005D3C6B">
      <w:pPr>
        <w:pStyle w:val="ListParagraph"/>
        <w:numPr>
          <w:ilvl w:val="1"/>
          <w:numId w:val="1"/>
        </w:numPr>
        <w:spacing w:after="0"/>
        <w:rPr>
          <w:sz w:val="24"/>
          <w:szCs w:val="24"/>
        </w:rPr>
      </w:pPr>
      <w:r>
        <w:rPr>
          <w:sz w:val="24"/>
          <w:szCs w:val="24"/>
        </w:rPr>
        <w:t>Singh often moved as a child because his father was in the military</w:t>
      </w:r>
    </w:p>
    <w:p w:rsidR="005D3C6B" w:rsidRDefault="005D3C6B" w:rsidP="005D3C6B">
      <w:pPr>
        <w:pStyle w:val="ListParagraph"/>
        <w:numPr>
          <w:ilvl w:val="1"/>
          <w:numId w:val="1"/>
        </w:numPr>
        <w:spacing w:after="0"/>
        <w:rPr>
          <w:sz w:val="24"/>
          <w:szCs w:val="24"/>
        </w:rPr>
      </w:pPr>
      <w:r>
        <w:rPr>
          <w:sz w:val="24"/>
          <w:szCs w:val="24"/>
        </w:rPr>
        <w:t>Singh was undisturbed when hiding at his uncle’s house an hour away</w:t>
      </w:r>
    </w:p>
    <w:p w:rsidR="005D3C6B" w:rsidRDefault="005D3C6B" w:rsidP="005D3C6B">
      <w:pPr>
        <w:pStyle w:val="ListParagraph"/>
        <w:numPr>
          <w:ilvl w:val="1"/>
          <w:numId w:val="1"/>
        </w:numPr>
        <w:spacing w:after="0"/>
        <w:rPr>
          <w:sz w:val="24"/>
          <w:szCs w:val="24"/>
        </w:rPr>
      </w:pPr>
      <w:r>
        <w:rPr>
          <w:sz w:val="24"/>
          <w:szCs w:val="24"/>
        </w:rPr>
        <w:t>Also undisturbed in Delhi for two days</w:t>
      </w:r>
    </w:p>
    <w:p w:rsidR="005D3C6B" w:rsidRDefault="005D3C6B" w:rsidP="005D3C6B">
      <w:pPr>
        <w:pStyle w:val="ListParagraph"/>
        <w:numPr>
          <w:ilvl w:val="1"/>
          <w:numId w:val="1"/>
        </w:numPr>
        <w:spacing w:after="0"/>
        <w:rPr>
          <w:sz w:val="24"/>
          <w:szCs w:val="24"/>
        </w:rPr>
      </w:pPr>
      <w:r>
        <w:rPr>
          <w:sz w:val="24"/>
          <w:szCs w:val="24"/>
        </w:rPr>
        <w:t>Singh was persecuted by two members of the opposition party as a personal feud</w:t>
      </w:r>
    </w:p>
    <w:p w:rsidR="005D3C6B" w:rsidRDefault="005D3C6B" w:rsidP="005D3C6B">
      <w:pPr>
        <w:pStyle w:val="ListParagraph"/>
        <w:numPr>
          <w:ilvl w:val="1"/>
          <w:numId w:val="1"/>
        </w:numPr>
        <w:spacing w:after="0"/>
        <w:rPr>
          <w:sz w:val="24"/>
          <w:szCs w:val="24"/>
        </w:rPr>
      </w:pPr>
      <w:r>
        <w:rPr>
          <w:sz w:val="24"/>
          <w:szCs w:val="24"/>
        </w:rPr>
        <w:t>Singh was a high school graduate and therefore well-educated.</w:t>
      </w:r>
    </w:p>
    <w:p w:rsidR="007E49D0" w:rsidRDefault="007E49D0" w:rsidP="007E49D0">
      <w:pPr>
        <w:pStyle w:val="ListParagraph"/>
        <w:numPr>
          <w:ilvl w:val="0"/>
          <w:numId w:val="1"/>
        </w:numPr>
        <w:spacing w:after="0"/>
        <w:rPr>
          <w:sz w:val="24"/>
          <w:szCs w:val="24"/>
        </w:rPr>
      </w:pPr>
      <w:r>
        <w:rPr>
          <w:sz w:val="24"/>
          <w:szCs w:val="24"/>
        </w:rPr>
        <w:lastRenderedPageBreak/>
        <w:t>BIA affirmed the decision of the immigration judge to deny application for asylum and withholding of removal, ordered him removed to India.</w:t>
      </w:r>
    </w:p>
    <w:p w:rsidR="007E49D0" w:rsidRPr="007E49D0" w:rsidRDefault="007E49D0" w:rsidP="007E49D0">
      <w:pPr>
        <w:pStyle w:val="ListParagraph"/>
        <w:numPr>
          <w:ilvl w:val="0"/>
          <w:numId w:val="1"/>
        </w:numPr>
        <w:spacing w:after="0"/>
        <w:rPr>
          <w:sz w:val="24"/>
          <w:szCs w:val="24"/>
        </w:rPr>
      </w:pPr>
      <w:r>
        <w:rPr>
          <w:sz w:val="24"/>
          <w:szCs w:val="24"/>
        </w:rPr>
        <w:t xml:space="preserve">BIA felt that DHS had </w:t>
      </w:r>
      <w:r w:rsidR="000B0646">
        <w:rPr>
          <w:sz w:val="24"/>
          <w:szCs w:val="24"/>
        </w:rPr>
        <w:t>“</w:t>
      </w:r>
      <w:r>
        <w:rPr>
          <w:sz w:val="24"/>
          <w:szCs w:val="24"/>
        </w:rPr>
        <w:t xml:space="preserve">carried its burden </w:t>
      </w:r>
      <w:r w:rsidR="000B0646">
        <w:rPr>
          <w:sz w:val="24"/>
          <w:szCs w:val="24"/>
        </w:rPr>
        <w:t>of establishing both that Singh was safely able to relocate within India to avoid further persecution and that it was reasonable for him to do so.” (1)</w:t>
      </w:r>
    </w:p>
    <w:p w:rsidR="00DB631B" w:rsidRDefault="00DB631B"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0B0646" w:rsidRPr="000B0646" w:rsidRDefault="000B0646" w:rsidP="000B0646">
      <w:pPr>
        <w:pStyle w:val="ListParagraph"/>
        <w:numPr>
          <w:ilvl w:val="0"/>
          <w:numId w:val="1"/>
        </w:numPr>
        <w:spacing w:after="0"/>
        <w:rPr>
          <w:sz w:val="24"/>
          <w:szCs w:val="24"/>
        </w:rPr>
      </w:pPr>
      <w:r>
        <w:rPr>
          <w:b/>
          <w:sz w:val="24"/>
          <w:szCs w:val="24"/>
        </w:rPr>
        <w:t>INA</w:t>
      </w:r>
    </w:p>
    <w:p w:rsidR="000B0646" w:rsidRPr="000B0646" w:rsidRDefault="000B0646" w:rsidP="000B0646">
      <w:pPr>
        <w:pStyle w:val="ListParagraph"/>
        <w:numPr>
          <w:ilvl w:val="0"/>
          <w:numId w:val="1"/>
        </w:numPr>
        <w:spacing w:after="0"/>
        <w:rPr>
          <w:sz w:val="24"/>
          <w:szCs w:val="24"/>
        </w:rPr>
      </w:pPr>
      <w:r>
        <w:rPr>
          <w:b/>
          <w:sz w:val="24"/>
          <w:szCs w:val="24"/>
        </w:rPr>
        <w:t>Convention Against Torture (CAT)</w:t>
      </w:r>
    </w:p>
    <w:p w:rsidR="000B0646" w:rsidRDefault="000B0646" w:rsidP="000B0646">
      <w:pPr>
        <w:pStyle w:val="ListParagraph"/>
        <w:numPr>
          <w:ilvl w:val="0"/>
          <w:numId w:val="1"/>
        </w:numPr>
        <w:spacing w:after="0"/>
        <w:rPr>
          <w:sz w:val="24"/>
          <w:szCs w:val="24"/>
        </w:rPr>
      </w:pPr>
      <w:r>
        <w:rPr>
          <w:b/>
          <w:sz w:val="24"/>
          <w:szCs w:val="24"/>
        </w:rPr>
        <w:t xml:space="preserve">8 U.S.C. </w:t>
      </w:r>
      <w:r>
        <w:rPr>
          <w:rFonts w:ascii="Roman SD" w:hAnsi="Roman SD"/>
          <w:b/>
          <w:sz w:val="24"/>
          <w:szCs w:val="24"/>
        </w:rPr>
        <w:t>§</w:t>
      </w:r>
      <w:r>
        <w:rPr>
          <w:b/>
          <w:sz w:val="24"/>
          <w:szCs w:val="24"/>
        </w:rPr>
        <w:t>1182(a</w:t>
      </w:r>
      <w:proofErr w:type="gramStart"/>
      <w:r>
        <w:rPr>
          <w:b/>
          <w:sz w:val="24"/>
          <w:szCs w:val="24"/>
        </w:rPr>
        <w:t>)(</w:t>
      </w:r>
      <w:proofErr w:type="gramEnd"/>
      <w:r>
        <w:rPr>
          <w:b/>
          <w:sz w:val="24"/>
          <w:szCs w:val="24"/>
        </w:rPr>
        <w:t>7)(A)(</w:t>
      </w:r>
      <w:proofErr w:type="spellStart"/>
      <w:r>
        <w:rPr>
          <w:b/>
          <w:sz w:val="24"/>
          <w:szCs w:val="24"/>
        </w:rPr>
        <w:t>i</w:t>
      </w:r>
      <w:proofErr w:type="spellEnd"/>
      <w:r>
        <w:rPr>
          <w:b/>
          <w:sz w:val="24"/>
          <w:szCs w:val="24"/>
        </w:rPr>
        <w:t>)(I):</w:t>
      </w:r>
      <w:r>
        <w:rPr>
          <w:sz w:val="24"/>
          <w:szCs w:val="24"/>
        </w:rPr>
        <w:t xml:space="preserve"> removability as an inadmissible person not in possession of a valid immigration document.</w:t>
      </w:r>
    </w:p>
    <w:p w:rsidR="00FD1C51" w:rsidRDefault="00FD1C51" w:rsidP="000B0646">
      <w:pPr>
        <w:pStyle w:val="ListParagraph"/>
        <w:numPr>
          <w:ilvl w:val="0"/>
          <w:numId w:val="1"/>
        </w:numPr>
        <w:spacing w:after="0"/>
        <w:rPr>
          <w:sz w:val="24"/>
          <w:szCs w:val="24"/>
        </w:rPr>
      </w:pPr>
      <w:r>
        <w:rPr>
          <w:b/>
          <w:i/>
          <w:sz w:val="24"/>
          <w:szCs w:val="24"/>
        </w:rPr>
        <w:t xml:space="preserve">Matter of M-Z-M-R </w:t>
      </w:r>
      <w:r>
        <w:rPr>
          <w:b/>
          <w:sz w:val="24"/>
          <w:szCs w:val="24"/>
        </w:rPr>
        <w:t>[26 I&amp;N Dec. 28 (BIA 2012)]:</w:t>
      </w:r>
      <w:r>
        <w:rPr>
          <w:sz w:val="24"/>
          <w:szCs w:val="24"/>
        </w:rPr>
        <w:t xml:space="preserve"> “has an excellent discussion of the DHS’s burden to rebut the regulatory presumption” of well-founded fear of future persecution. DHS must show a specific area in the country where the person does not need to fear persecution.</w:t>
      </w:r>
    </w:p>
    <w:p w:rsidR="00094193" w:rsidRDefault="00094193" w:rsidP="000B0646">
      <w:pPr>
        <w:pStyle w:val="ListParagraph"/>
        <w:numPr>
          <w:ilvl w:val="0"/>
          <w:numId w:val="1"/>
        </w:numPr>
        <w:spacing w:after="0"/>
        <w:rPr>
          <w:sz w:val="24"/>
          <w:szCs w:val="24"/>
        </w:rPr>
      </w:pPr>
      <w:proofErr w:type="spellStart"/>
      <w:r>
        <w:rPr>
          <w:b/>
          <w:i/>
          <w:sz w:val="24"/>
          <w:szCs w:val="24"/>
        </w:rPr>
        <w:t>Lukwago</w:t>
      </w:r>
      <w:proofErr w:type="spellEnd"/>
      <w:r>
        <w:rPr>
          <w:b/>
          <w:i/>
          <w:sz w:val="24"/>
          <w:szCs w:val="24"/>
        </w:rPr>
        <w:t xml:space="preserve"> v.</w:t>
      </w:r>
      <w:r>
        <w:rPr>
          <w:sz w:val="24"/>
          <w:szCs w:val="24"/>
        </w:rPr>
        <w:t xml:space="preserve"> </w:t>
      </w:r>
      <w:r>
        <w:rPr>
          <w:b/>
          <w:i/>
          <w:sz w:val="24"/>
          <w:szCs w:val="24"/>
        </w:rPr>
        <w:t xml:space="preserve">Ashcroft </w:t>
      </w:r>
      <w:r>
        <w:rPr>
          <w:b/>
          <w:sz w:val="24"/>
          <w:szCs w:val="24"/>
        </w:rPr>
        <w:t>[329 F.3d 157 (3d Cir. 2003)]:</w:t>
      </w:r>
      <w:r>
        <w:rPr>
          <w:sz w:val="24"/>
          <w:szCs w:val="24"/>
        </w:rPr>
        <w:t xml:space="preserve"> </w:t>
      </w:r>
      <w:proofErr w:type="spellStart"/>
      <w:r>
        <w:rPr>
          <w:sz w:val="24"/>
          <w:szCs w:val="24"/>
        </w:rPr>
        <w:t>Gov’t</w:t>
      </w:r>
      <w:proofErr w:type="spellEnd"/>
      <w:r>
        <w:rPr>
          <w:sz w:val="24"/>
          <w:szCs w:val="24"/>
        </w:rPr>
        <w:t xml:space="preserve"> must show that relocation to a particular part of the country would lessen the risk of persecution.</w:t>
      </w:r>
    </w:p>
    <w:p w:rsidR="00094193" w:rsidRDefault="005D3C6B" w:rsidP="000B0646">
      <w:pPr>
        <w:pStyle w:val="ListParagraph"/>
        <w:numPr>
          <w:ilvl w:val="0"/>
          <w:numId w:val="1"/>
        </w:numPr>
        <w:spacing w:after="0"/>
        <w:rPr>
          <w:sz w:val="24"/>
          <w:szCs w:val="24"/>
        </w:rPr>
      </w:pPr>
      <w:r>
        <w:rPr>
          <w:b/>
          <w:i/>
          <w:sz w:val="24"/>
          <w:szCs w:val="24"/>
        </w:rPr>
        <w:t xml:space="preserve">N.L.A. v. Holder </w:t>
      </w:r>
      <w:r>
        <w:rPr>
          <w:b/>
          <w:sz w:val="24"/>
          <w:szCs w:val="24"/>
        </w:rPr>
        <w:t>[744 F.3d 425 (7</w:t>
      </w:r>
      <w:r w:rsidRPr="005D3C6B">
        <w:rPr>
          <w:b/>
          <w:sz w:val="24"/>
          <w:szCs w:val="24"/>
          <w:vertAlign w:val="superscript"/>
        </w:rPr>
        <w:t>th</w:t>
      </w:r>
      <w:r>
        <w:rPr>
          <w:b/>
          <w:sz w:val="24"/>
          <w:szCs w:val="24"/>
        </w:rPr>
        <w:t xml:space="preserve"> Cir. 2014)]:</w:t>
      </w:r>
      <w:r>
        <w:rPr>
          <w:sz w:val="24"/>
          <w:szCs w:val="24"/>
        </w:rPr>
        <w:t xml:space="preserve"> not safe to relocate to home country because only safe person petitioner knew lived in hiding, and this is not a reason to deny asylum.</w:t>
      </w:r>
    </w:p>
    <w:p w:rsidR="005D3C6B" w:rsidRDefault="005D3C6B" w:rsidP="000B0646">
      <w:pPr>
        <w:pStyle w:val="ListParagraph"/>
        <w:numPr>
          <w:ilvl w:val="0"/>
          <w:numId w:val="1"/>
        </w:numPr>
        <w:spacing w:after="0"/>
        <w:rPr>
          <w:sz w:val="24"/>
          <w:szCs w:val="24"/>
        </w:rPr>
      </w:pPr>
      <w:proofErr w:type="spellStart"/>
      <w:r>
        <w:rPr>
          <w:b/>
          <w:i/>
          <w:sz w:val="24"/>
          <w:szCs w:val="24"/>
        </w:rPr>
        <w:t>Essohou</w:t>
      </w:r>
      <w:proofErr w:type="spellEnd"/>
      <w:r>
        <w:rPr>
          <w:b/>
          <w:i/>
          <w:sz w:val="24"/>
          <w:szCs w:val="24"/>
        </w:rPr>
        <w:t xml:space="preserve"> v. Gonzales </w:t>
      </w:r>
      <w:r>
        <w:rPr>
          <w:b/>
          <w:sz w:val="24"/>
          <w:szCs w:val="24"/>
        </w:rPr>
        <w:t>[471 F.3d 518 (4</w:t>
      </w:r>
      <w:r w:rsidRPr="005D3C6B">
        <w:rPr>
          <w:b/>
          <w:sz w:val="24"/>
          <w:szCs w:val="24"/>
          <w:vertAlign w:val="superscript"/>
        </w:rPr>
        <w:t>th</w:t>
      </w:r>
      <w:r>
        <w:rPr>
          <w:b/>
          <w:sz w:val="24"/>
          <w:szCs w:val="24"/>
        </w:rPr>
        <w:t xml:space="preserve"> Cir. 2006)]:</w:t>
      </w:r>
      <w:r>
        <w:rPr>
          <w:sz w:val="24"/>
          <w:szCs w:val="24"/>
        </w:rPr>
        <w:t xml:space="preserve"> time spent hiding in a Congolese village doesn’t prove that it’s safe to go home.</w:t>
      </w:r>
    </w:p>
    <w:p w:rsidR="005D3C6B" w:rsidRDefault="005D3C6B" w:rsidP="000B0646">
      <w:pPr>
        <w:pStyle w:val="ListParagraph"/>
        <w:numPr>
          <w:ilvl w:val="0"/>
          <w:numId w:val="1"/>
        </w:numPr>
        <w:spacing w:after="0"/>
        <w:rPr>
          <w:sz w:val="24"/>
          <w:szCs w:val="24"/>
        </w:rPr>
      </w:pPr>
      <w:r>
        <w:rPr>
          <w:b/>
          <w:i/>
          <w:sz w:val="24"/>
          <w:szCs w:val="24"/>
        </w:rPr>
        <w:t xml:space="preserve">Chen v. Gonzales </w:t>
      </w:r>
      <w:r>
        <w:rPr>
          <w:b/>
          <w:sz w:val="24"/>
          <w:szCs w:val="24"/>
        </w:rPr>
        <w:t xml:space="preserve">[169 F. </w:t>
      </w:r>
      <w:proofErr w:type="spellStart"/>
      <w:r>
        <w:rPr>
          <w:b/>
          <w:sz w:val="24"/>
          <w:szCs w:val="24"/>
        </w:rPr>
        <w:t>Appx</w:t>
      </w:r>
      <w:proofErr w:type="spellEnd"/>
      <w:r>
        <w:rPr>
          <w:b/>
          <w:sz w:val="24"/>
          <w:szCs w:val="24"/>
        </w:rPr>
        <w:t xml:space="preserve"> 25 (5</w:t>
      </w:r>
      <w:r w:rsidRPr="005D3C6B">
        <w:rPr>
          <w:b/>
          <w:sz w:val="24"/>
          <w:szCs w:val="24"/>
          <w:vertAlign w:val="superscript"/>
        </w:rPr>
        <w:t>th</w:t>
      </w:r>
      <w:r>
        <w:rPr>
          <w:b/>
          <w:sz w:val="24"/>
          <w:szCs w:val="24"/>
        </w:rPr>
        <w:t xml:space="preserve"> Cir. 2006)]:</w:t>
      </w:r>
      <w:r>
        <w:rPr>
          <w:sz w:val="24"/>
          <w:szCs w:val="24"/>
        </w:rPr>
        <w:t xml:space="preserve"> just because parents were still in China doesn’t mean petitioner could safely return, since parents were in hiding.</w:t>
      </w:r>
      <w:r w:rsidR="00A66E4D">
        <w:rPr>
          <w:sz w:val="24"/>
          <w:szCs w:val="24"/>
        </w:rPr>
        <w:t xml:space="preserve"> (Unpublished)</w:t>
      </w:r>
    </w:p>
    <w:p w:rsidR="00A66E4D" w:rsidRPr="000B0646" w:rsidRDefault="00A66E4D" w:rsidP="000B0646">
      <w:pPr>
        <w:pStyle w:val="ListParagraph"/>
        <w:numPr>
          <w:ilvl w:val="0"/>
          <w:numId w:val="1"/>
        </w:numPr>
        <w:spacing w:after="0"/>
        <w:rPr>
          <w:sz w:val="24"/>
          <w:szCs w:val="24"/>
        </w:rPr>
      </w:pPr>
      <w:r>
        <w:rPr>
          <w:b/>
          <w:i/>
          <w:sz w:val="24"/>
          <w:szCs w:val="24"/>
        </w:rPr>
        <w:t xml:space="preserve">Das v. Gonzales </w:t>
      </w:r>
      <w:r>
        <w:rPr>
          <w:b/>
          <w:sz w:val="24"/>
          <w:szCs w:val="24"/>
        </w:rPr>
        <w:t xml:space="preserve">[219 F. </w:t>
      </w:r>
      <w:proofErr w:type="spellStart"/>
      <w:r>
        <w:rPr>
          <w:b/>
          <w:sz w:val="24"/>
          <w:szCs w:val="24"/>
        </w:rPr>
        <w:t>App’x</w:t>
      </w:r>
      <w:proofErr w:type="spellEnd"/>
      <w:r>
        <w:rPr>
          <w:b/>
          <w:sz w:val="24"/>
          <w:szCs w:val="24"/>
        </w:rPr>
        <w:t xml:space="preserve"> 543 (7</w:t>
      </w:r>
      <w:r w:rsidRPr="00A66E4D">
        <w:rPr>
          <w:b/>
          <w:sz w:val="24"/>
          <w:szCs w:val="24"/>
          <w:vertAlign w:val="superscript"/>
        </w:rPr>
        <w:t>th</w:t>
      </w:r>
      <w:r>
        <w:rPr>
          <w:b/>
          <w:sz w:val="24"/>
          <w:szCs w:val="24"/>
        </w:rPr>
        <w:t xml:space="preserve"> Cir. 2007)]:</w:t>
      </w:r>
      <w:r>
        <w:rPr>
          <w:sz w:val="24"/>
          <w:szCs w:val="24"/>
        </w:rPr>
        <w:t xml:space="preserve"> Citizen of India &amp; practicing Christian sought asylum after violence from Hindu nationalists. DHS showed thru a State Dep’t report that Das could safely and reasonably relocate within India, and BIA denied asylum. 7</w:t>
      </w:r>
      <w:r w:rsidRPr="00A66E4D">
        <w:rPr>
          <w:sz w:val="24"/>
          <w:szCs w:val="24"/>
          <w:vertAlign w:val="superscript"/>
        </w:rPr>
        <w:t>th</w:t>
      </w:r>
      <w:r>
        <w:rPr>
          <w:sz w:val="24"/>
          <w:szCs w:val="24"/>
        </w:rPr>
        <w:t xml:space="preserve"> Circuit reversed because the reports relied on did not show that such persecution was “localized,” and DHS did not provide info about whether it would be </w:t>
      </w:r>
      <w:proofErr w:type="gramStart"/>
      <w:r>
        <w:rPr>
          <w:sz w:val="24"/>
          <w:szCs w:val="24"/>
        </w:rPr>
        <w:t>safe/reasonable</w:t>
      </w:r>
      <w:proofErr w:type="gramEnd"/>
      <w:r>
        <w:rPr>
          <w:sz w:val="24"/>
          <w:szCs w:val="24"/>
        </w:rPr>
        <w:t xml:space="preserve"> for Das to relocate to any of the small majority-Christian states.</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Dicta:</w:t>
      </w:r>
    </w:p>
    <w:p w:rsidR="00FD1C51" w:rsidRDefault="00A66E4D" w:rsidP="00FD1C51">
      <w:pPr>
        <w:pStyle w:val="ListParagraph"/>
        <w:numPr>
          <w:ilvl w:val="0"/>
          <w:numId w:val="1"/>
        </w:numPr>
        <w:spacing w:after="0"/>
        <w:rPr>
          <w:sz w:val="24"/>
          <w:szCs w:val="24"/>
        </w:rPr>
      </w:pPr>
      <w:r>
        <w:rPr>
          <w:sz w:val="24"/>
          <w:szCs w:val="24"/>
        </w:rPr>
        <w:t>Burn: “In reviewing the case law, we have not found a single case where a circuit court has affirmed the BIA on this issue with a record as barren as the one now before us.” (8)</w:t>
      </w:r>
    </w:p>
    <w:p w:rsidR="00A66E4D" w:rsidRPr="00FD1C51" w:rsidRDefault="00A66E4D" w:rsidP="00FD1C51">
      <w:pPr>
        <w:pStyle w:val="ListParagraph"/>
        <w:numPr>
          <w:ilvl w:val="0"/>
          <w:numId w:val="1"/>
        </w:numPr>
        <w:spacing w:after="0"/>
        <w:rPr>
          <w:sz w:val="24"/>
          <w:szCs w:val="24"/>
        </w:rPr>
      </w:pPr>
      <w:r>
        <w:rPr>
          <w:sz w:val="24"/>
          <w:szCs w:val="24"/>
        </w:rPr>
        <w:t xml:space="preserve">“Though </w:t>
      </w:r>
      <w:r>
        <w:rPr>
          <w:i/>
          <w:sz w:val="24"/>
          <w:szCs w:val="24"/>
        </w:rPr>
        <w:t>Singh</w:t>
      </w:r>
      <w:r>
        <w:rPr>
          <w:sz w:val="24"/>
          <w:szCs w:val="24"/>
        </w:rPr>
        <w:t xml:space="preserve"> [a different one] and other unpublished decisions in our sister circuits indicate that Sikhs generally are able to safely relocate within India, no case indicates that the DHS can meet its burden without producing any evidence specific to the petitioner’s ability as a Mann Party Sikh to safely relocate within his home country.” (8)</w:t>
      </w:r>
    </w:p>
    <w:p w:rsidR="00C87419" w:rsidRDefault="00C87419" w:rsidP="00C87419">
      <w:pPr>
        <w:spacing w:after="0"/>
        <w:rPr>
          <w:b/>
          <w:sz w:val="24"/>
          <w:szCs w:val="24"/>
        </w:rPr>
      </w:pPr>
    </w:p>
    <w:p w:rsidR="00E16E68" w:rsidRPr="00496F39" w:rsidRDefault="00E16E68" w:rsidP="00C87419">
      <w:pPr>
        <w:spacing w:after="0"/>
        <w:rPr>
          <w:sz w:val="24"/>
          <w:szCs w:val="24"/>
        </w:rPr>
      </w:pPr>
      <w:r>
        <w:rPr>
          <w:b/>
          <w:sz w:val="24"/>
          <w:szCs w:val="24"/>
        </w:rPr>
        <w:t>Commentary:</w:t>
      </w:r>
    </w:p>
    <w:p w:rsidR="00E16E68" w:rsidRPr="000B0646" w:rsidRDefault="000B0646" w:rsidP="000B0646">
      <w:pPr>
        <w:pStyle w:val="ListParagraph"/>
        <w:numPr>
          <w:ilvl w:val="0"/>
          <w:numId w:val="1"/>
        </w:numPr>
        <w:spacing w:after="0"/>
        <w:rPr>
          <w:b/>
          <w:sz w:val="24"/>
          <w:szCs w:val="24"/>
        </w:rPr>
      </w:pPr>
      <w:r>
        <w:rPr>
          <w:sz w:val="24"/>
          <w:szCs w:val="24"/>
        </w:rPr>
        <w:t xml:space="preserve">Circuit Court generally reviews only BIA decision, but when “the BIA’s decision is affected by the IJ’s </w:t>
      </w:r>
      <w:proofErr w:type="gramStart"/>
      <w:r>
        <w:rPr>
          <w:sz w:val="24"/>
          <w:szCs w:val="24"/>
        </w:rPr>
        <w:t>ruling,</w:t>
      </w:r>
      <w:proofErr w:type="gramEnd"/>
      <w:r>
        <w:rPr>
          <w:sz w:val="24"/>
          <w:szCs w:val="24"/>
        </w:rPr>
        <w:t xml:space="preserve"> we also review the IJ’s ruling.” (3) (</w:t>
      </w:r>
      <w:r w:rsidR="00FD1C51">
        <w:rPr>
          <w:sz w:val="24"/>
          <w:szCs w:val="24"/>
        </w:rPr>
        <w:t xml:space="preserve">True of </w:t>
      </w:r>
      <w:r>
        <w:rPr>
          <w:sz w:val="24"/>
          <w:szCs w:val="24"/>
        </w:rPr>
        <w:t>legal ruling as well as factual finding</w:t>
      </w:r>
      <w:r w:rsidR="00FD1C51">
        <w:rPr>
          <w:sz w:val="24"/>
          <w:szCs w:val="24"/>
        </w:rPr>
        <w:t>. If the evidence compels a contrary conclusion, CC can reverse BIA.)</w:t>
      </w:r>
    </w:p>
    <w:sectPr w:rsidR="00E16E68" w:rsidRPr="000B0646"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4B60" w:rsidRDefault="00034B60" w:rsidP="00E16E68">
      <w:pPr>
        <w:spacing w:after="0" w:line="240" w:lineRule="auto"/>
      </w:pPr>
      <w:r>
        <w:separator/>
      </w:r>
    </w:p>
  </w:endnote>
  <w:endnote w:type="continuationSeparator" w:id="0">
    <w:p w:rsidR="00034B60" w:rsidRDefault="00034B6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man SD">
    <w:panose1 w:val="02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4B60" w:rsidRDefault="00034B60" w:rsidP="00E16E68">
      <w:pPr>
        <w:spacing w:after="0" w:line="240" w:lineRule="auto"/>
      </w:pPr>
      <w:r>
        <w:separator/>
      </w:r>
    </w:p>
  </w:footnote>
  <w:footnote w:type="continuationSeparator" w:id="0">
    <w:p w:rsidR="00034B60" w:rsidRDefault="00034B6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DB631B" w:rsidP="00DB631B">
    <w:pPr>
      <w:pStyle w:val="Header"/>
      <w:jc w:val="right"/>
    </w:pPr>
    <w:r>
      <w:t xml:space="preserve">Fifth </w:t>
    </w:r>
    <w:r w:rsidR="00496F39">
      <w:t>Circuit</w:t>
    </w:r>
    <w:r w:rsidR="0016476D">
      <w:t xml:space="preserve"> Court</w:t>
    </w:r>
    <w:r w:rsidR="00E16E68">
      <w:tab/>
    </w:r>
    <w:r>
      <w:t>2018</w:t>
    </w:r>
    <w:r w:rsidR="00E16E68">
      <w:tab/>
    </w:r>
    <w:r>
      <w:t xml:space="preserve"> </w:t>
    </w:r>
    <w:r w:rsidRPr="00DB631B">
      <w:rPr>
        <w:i/>
      </w:rPr>
      <w:t>Singh v. Sessions</w:t>
    </w:r>
  </w:p>
  <w:p w:rsidR="00552EC4" w:rsidRDefault="00552EC4" w:rsidP="00552EC4">
    <w:pPr>
      <w:pStyle w:val="Header"/>
      <w:jc w:val="right"/>
    </w:pPr>
    <w:r>
      <w:tab/>
    </w:r>
    <w:r>
      <w:tab/>
    </w:r>
    <w:r w:rsidR="00E11B80">
      <w:t>SAFE RELOCATION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121EA0"/>
    <w:multiLevelType w:val="hybridMultilevel"/>
    <w:tmpl w:val="840ADEF2"/>
    <w:lvl w:ilvl="0" w:tplc="7A9AF152">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55689A"/>
    <w:multiLevelType w:val="hybridMultilevel"/>
    <w:tmpl w:val="BB263774"/>
    <w:lvl w:ilvl="0" w:tplc="593A9B6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34B60"/>
    <w:rsid w:val="00094193"/>
    <w:rsid w:val="000B0646"/>
    <w:rsid w:val="00144D3B"/>
    <w:rsid w:val="0016476D"/>
    <w:rsid w:val="002479B3"/>
    <w:rsid w:val="003E5947"/>
    <w:rsid w:val="00457D27"/>
    <w:rsid w:val="00496F39"/>
    <w:rsid w:val="00552EC4"/>
    <w:rsid w:val="00582960"/>
    <w:rsid w:val="005D3C6B"/>
    <w:rsid w:val="007D1AC2"/>
    <w:rsid w:val="007E49D0"/>
    <w:rsid w:val="00A66E4D"/>
    <w:rsid w:val="00B564E2"/>
    <w:rsid w:val="00B778D1"/>
    <w:rsid w:val="00C87419"/>
    <w:rsid w:val="00D66735"/>
    <w:rsid w:val="00DB631B"/>
    <w:rsid w:val="00E11B80"/>
    <w:rsid w:val="00E16E68"/>
    <w:rsid w:val="00E2134E"/>
    <w:rsid w:val="00FD1C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DB631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2018-09-25T14:30:00Z</dcterms:created>
  <dcterms:modified xsi:type="dcterms:W3CDTF">2018-09-25T15:19:00Z</dcterms:modified>
</cp:coreProperties>
</file>