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D3B" w:rsidRDefault="00144D3B" w:rsidP="00C87419">
      <w:pPr>
        <w:spacing w:after="0"/>
      </w:pPr>
    </w:p>
    <w:p w:rsidR="00E16E68" w:rsidRDefault="00D45338" w:rsidP="00C87419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Seventh </w:t>
      </w:r>
      <w:r w:rsidR="006C420B">
        <w:rPr>
          <w:b/>
          <w:sz w:val="24"/>
          <w:szCs w:val="24"/>
        </w:rPr>
        <w:t>Circuit</w:t>
      </w:r>
      <w:r w:rsidR="0016476D">
        <w:rPr>
          <w:b/>
          <w:sz w:val="24"/>
          <w:szCs w:val="24"/>
        </w:rPr>
        <w:t xml:space="preserve"> Court</w:t>
      </w:r>
    </w:p>
    <w:p w:rsidR="00C87419" w:rsidRDefault="00C87419" w:rsidP="00C87419">
      <w:pPr>
        <w:spacing w:after="0"/>
        <w:jc w:val="center"/>
        <w:rPr>
          <w:b/>
          <w:sz w:val="24"/>
          <w:szCs w:val="24"/>
        </w:rPr>
      </w:pPr>
    </w:p>
    <w:p w:rsidR="00757CDB" w:rsidRPr="00D45338" w:rsidRDefault="00E16E68" w:rsidP="00C87419">
      <w:pPr>
        <w:spacing w:after="0"/>
        <w:rPr>
          <w:i/>
          <w:sz w:val="24"/>
          <w:szCs w:val="24"/>
        </w:rPr>
      </w:pPr>
      <w:r>
        <w:rPr>
          <w:b/>
          <w:sz w:val="24"/>
          <w:szCs w:val="24"/>
        </w:rPr>
        <w:t>Case:</w:t>
      </w:r>
      <w:r w:rsidR="008E5B66">
        <w:rPr>
          <w:b/>
          <w:sz w:val="24"/>
          <w:szCs w:val="24"/>
        </w:rPr>
        <w:tab/>
      </w:r>
      <w:r w:rsidR="00D45338">
        <w:rPr>
          <w:i/>
          <w:sz w:val="24"/>
          <w:szCs w:val="24"/>
        </w:rPr>
        <w:t>Carlos Alberto Mejia Galindo v. Jefferson B. Sessions III</w:t>
      </w:r>
    </w:p>
    <w:p w:rsidR="00E16E68" w:rsidRPr="00757CDB" w:rsidRDefault="008E5B66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Date:</w:t>
      </w:r>
      <w:r>
        <w:rPr>
          <w:b/>
          <w:sz w:val="24"/>
          <w:szCs w:val="24"/>
        </w:rPr>
        <w:tab/>
      </w:r>
      <w:r w:rsidR="00D45338">
        <w:rPr>
          <w:sz w:val="24"/>
          <w:szCs w:val="24"/>
        </w:rPr>
        <w:t>July 31, 2018</w:t>
      </w:r>
      <w:r>
        <w:rPr>
          <w:b/>
          <w:sz w:val="24"/>
          <w:szCs w:val="24"/>
        </w:rPr>
        <w:tab/>
      </w:r>
      <w:r w:rsidR="00A65C5C">
        <w:rPr>
          <w:b/>
          <w:sz w:val="24"/>
          <w:szCs w:val="24"/>
        </w:rPr>
        <w:tab/>
      </w:r>
      <w:r w:rsidR="00A65C5C">
        <w:rPr>
          <w:b/>
          <w:sz w:val="24"/>
          <w:szCs w:val="24"/>
        </w:rPr>
        <w:tab/>
      </w:r>
      <w:r w:rsidR="00A65C5C">
        <w:rPr>
          <w:b/>
          <w:sz w:val="24"/>
          <w:szCs w:val="24"/>
        </w:rPr>
        <w:tab/>
      </w:r>
      <w:r w:rsidR="00D45338">
        <w:rPr>
          <w:b/>
          <w:sz w:val="24"/>
          <w:szCs w:val="24"/>
        </w:rPr>
        <w:t>Judges</w:t>
      </w:r>
      <w:r>
        <w:rPr>
          <w:b/>
          <w:sz w:val="24"/>
          <w:szCs w:val="24"/>
        </w:rPr>
        <w:t>:</w:t>
      </w:r>
      <w:r w:rsidR="00D45338">
        <w:rPr>
          <w:sz w:val="24"/>
          <w:szCs w:val="24"/>
        </w:rPr>
        <w:t xml:space="preserve"> Bauer, </w:t>
      </w:r>
      <w:proofErr w:type="spellStart"/>
      <w:r w:rsidR="00D45338">
        <w:rPr>
          <w:sz w:val="24"/>
          <w:szCs w:val="24"/>
        </w:rPr>
        <w:t>Rovner</w:t>
      </w:r>
      <w:proofErr w:type="spellEnd"/>
      <w:r w:rsidR="00D45338">
        <w:rPr>
          <w:sz w:val="24"/>
          <w:szCs w:val="24"/>
        </w:rPr>
        <w:t>, &amp; Sykes</w:t>
      </w:r>
      <w:r w:rsidR="00757CDB">
        <w:rPr>
          <w:sz w:val="24"/>
          <w:szCs w:val="24"/>
        </w:rPr>
        <w:t xml:space="preserve"> </w:t>
      </w:r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E16E68" w:rsidRPr="00757CDB" w:rsidRDefault="008E5B66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Opinion</w:t>
      </w:r>
      <w:r w:rsidR="00E16E68">
        <w:rPr>
          <w:b/>
          <w:sz w:val="24"/>
          <w:szCs w:val="24"/>
        </w:rPr>
        <w:t>:</w:t>
      </w:r>
      <w:r w:rsidR="00D45338">
        <w:rPr>
          <w:sz w:val="24"/>
          <w:szCs w:val="24"/>
        </w:rPr>
        <w:t xml:space="preserve"> Sykes</w:t>
      </w:r>
      <w:r w:rsidR="00757CDB">
        <w:rPr>
          <w:b/>
          <w:sz w:val="24"/>
          <w:szCs w:val="24"/>
        </w:rPr>
        <w:tab/>
      </w:r>
      <w:r w:rsidR="00757CDB">
        <w:rPr>
          <w:b/>
          <w:sz w:val="24"/>
          <w:szCs w:val="24"/>
        </w:rPr>
        <w:tab/>
      </w:r>
      <w:r w:rsidR="00757CDB">
        <w:rPr>
          <w:b/>
          <w:sz w:val="24"/>
          <w:szCs w:val="24"/>
        </w:rPr>
        <w:tab/>
        <w:t xml:space="preserve"> </w:t>
      </w:r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E16E68" w:rsidRPr="00757CDB" w:rsidRDefault="00E16E68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Tags:</w:t>
      </w:r>
      <w:r w:rsidR="00757CDB">
        <w:rPr>
          <w:sz w:val="24"/>
          <w:szCs w:val="24"/>
        </w:rPr>
        <w:t xml:space="preserve"> </w:t>
      </w:r>
      <w:r w:rsidR="00CC2681">
        <w:rPr>
          <w:sz w:val="24"/>
          <w:szCs w:val="24"/>
        </w:rPr>
        <w:t>BIA, immigration judge, removal order, finding of removability, jurisdiction, appellate body</w:t>
      </w:r>
      <w:bookmarkStart w:id="0" w:name="_GoBack"/>
      <w:bookmarkEnd w:id="0"/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E16E68" w:rsidRDefault="008E5B66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Question(s) Presented</w:t>
      </w:r>
      <w:r w:rsidR="00E16E68">
        <w:rPr>
          <w:b/>
          <w:sz w:val="24"/>
          <w:szCs w:val="24"/>
        </w:rPr>
        <w:t>:</w:t>
      </w:r>
      <w:r w:rsidR="00757CDB">
        <w:rPr>
          <w:sz w:val="24"/>
          <w:szCs w:val="24"/>
        </w:rPr>
        <w:t xml:space="preserve"> </w:t>
      </w:r>
    </w:p>
    <w:p w:rsidR="00D45338" w:rsidRDefault="00D45338" w:rsidP="00D45338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Does the Seventh Circuit have jurisdiction to review BIA’s determination?</w:t>
      </w:r>
    </w:p>
    <w:p w:rsidR="00D45338" w:rsidRPr="00D45338" w:rsidRDefault="00D45338" w:rsidP="00D45338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Does the INA give the BIA authority to issue a removal order in the first instance (rather than just confirming one made by an IJ)?</w:t>
      </w:r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E16E68" w:rsidRDefault="00E16E68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Holdings:</w:t>
      </w:r>
      <w:r w:rsidR="00CC7EEE">
        <w:rPr>
          <w:sz w:val="24"/>
          <w:szCs w:val="24"/>
        </w:rPr>
        <w:t xml:space="preserve"> </w:t>
      </w:r>
    </w:p>
    <w:p w:rsidR="00D45338" w:rsidRDefault="00D45338" w:rsidP="00D45338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IJ never made a finding of removability, so there is no final order for us to review.</w:t>
      </w:r>
    </w:p>
    <w:p w:rsidR="00D45338" w:rsidRDefault="00D45338" w:rsidP="00D45338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BIA cannot determine a final order apart from the IJ.</w:t>
      </w:r>
    </w:p>
    <w:p w:rsidR="00D45338" w:rsidRDefault="00D45338" w:rsidP="00D45338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“Because the Board lacked the authority to issue a removal order in the first instance, we vacate and remand its ultra vires order.” (2)</w:t>
      </w:r>
    </w:p>
    <w:p w:rsidR="00D45338" w:rsidRPr="00D45338" w:rsidRDefault="00D45338" w:rsidP="00D45338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IJ serves as fact-finder, BIA as appellate body.</w:t>
      </w:r>
    </w:p>
    <w:p w:rsidR="00A65C5C" w:rsidRDefault="00A65C5C" w:rsidP="00C87419">
      <w:pPr>
        <w:spacing w:after="0"/>
        <w:rPr>
          <w:sz w:val="24"/>
          <w:szCs w:val="24"/>
        </w:rPr>
      </w:pPr>
    </w:p>
    <w:p w:rsidR="00A65C5C" w:rsidRDefault="00A65C5C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Rationale:</w:t>
      </w:r>
    </w:p>
    <w:p w:rsidR="00D45338" w:rsidRPr="00D45338" w:rsidRDefault="00D45338" w:rsidP="00D45338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First step in removability is IJ determining it; second step is BIA confirming this.</w:t>
      </w:r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8E5B66" w:rsidRPr="00D45338" w:rsidRDefault="008E5B66" w:rsidP="008E5B66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Facts:</w:t>
      </w:r>
      <w:r w:rsidR="00D45338">
        <w:rPr>
          <w:sz w:val="24"/>
          <w:szCs w:val="24"/>
        </w:rPr>
        <w:t xml:space="preserve"> Petitioner, a native of Honduras and LPR, faces deportation because of three KY convictions for possession of drug paraphernalia. </w:t>
      </w:r>
    </w:p>
    <w:p w:rsidR="008E5B66" w:rsidRDefault="008E5B66" w:rsidP="00C87419">
      <w:pPr>
        <w:spacing w:after="0"/>
        <w:rPr>
          <w:b/>
          <w:sz w:val="24"/>
          <w:szCs w:val="24"/>
        </w:rPr>
      </w:pPr>
    </w:p>
    <w:p w:rsidR="009917BC" w:rsidRDefault="00757CDB" w:rsidP="00C8741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Legal </w:t>
      </w:r>
      <w:r w:rsidR="009917BC">
        <w:rPr>
          <w:b/>
          <w:sz w:val="24"/>
          <w:szCs w:val="24"/>
        </w:rPr>
        <w:t>History, Prior Appeals &amp; Trial Court Input:</w:t>
      </w:r>
    </w:p>
    <w:p w:rsidR="00D45338" w:rsidRDefault="00D45338" w:rsidP="00D45338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Immigration judge declared him not removable under </w:t>
      </w:r>
      <w:r>
        <w:rPr>
          <w:b/>
          <w:sz w:val="24"/>
          <w:szCs w:val="24"/>
        </w:rPr>
        <w:t>8 U.S.C. §1227(a)(2)(B)(</w:t>
      </w:r>
      <w:proofErr w:type="spellStart"/>
      <w:r>
        <w:rPr>
          <w:b/>
          <w:sz w:val="24"/>
          <w:szCs w:val="24"/>
        </w:rPr>
        <w:t>i</w:t>
      </w:r>
      <w:proofErr w:type="spellEnd"/>
      <w:r>
        <w:rPr>
          <w:b/>
          <w:sz w:val="24"/>
          <w:szCs w:val="24"/>
        </w:rPr>
        <w:t>)</w:t>
      </w:r>
      <w:r>
        <w:rPr>
          <w:sz w:val="24"/>
          <w:szCs w:val="24"/>
        </w:rPr>
        <w:t xml:space="preserve"> (re. alien convicted of controlled-substance offense).</w:t>
      </w:r>
    </w:p>
    <w:p w:rsidR="00D45338" w:rsidRDefault="00D45338" w:rsidP="00D45338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“categorical” approach to removal: if offense involves a violation of federal law. (In this case, nope: the KY law “criminalizes paraphernalia for three drugs that are not proscribed by federal law” (3))</w:t>
      </w:r>
    </w:p>
    <w:p w:rsidR="00D45338" w:rsidRDefault="00D45338" w:rsidP="00D45338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“modified categorical approach”: if a divisible statute includes both removable offenses and offenses that don’t require removal. In a divisible law case, court may consult indictments and jury instructions to figure out which type of offense it was. (In this case, the statute was not a divisible one.)</w:t>
      </w:r>
    </w:p>
    <w:p w:rsidR="00D45338" w:rsidRDefault="00D45338" w:rsidP="00D45338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BIA reversed IJ and began process of removal.</w:t>
      </w:r>
    </w:p>
    <w:p w:rsidR="00D45338" w:rsidRDefault="00D45338" w:rsidP="00D45338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“…finding that Mejia Galindo’s convictions necessarily establish a controlled-substance violation.” (4)</w:t>
      </w:r>
    </w:p>
    <w:p w:rsidR="00D45338" w:rsidRDefault="00D45338" w:rsidP="00D45338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t>“Instead of remanding for the IJ to enter a removal order, the Board purported to enter a removal order on its own.” (4)</w:t>
      </w:r>
    </w:p>
    <w:p w:rsidR="009917BC" w:rsidRDefault="009917BC" w:rsidP="008E5B66">
      <w:pPr>
        <w:spacing w:after="0"/>
        <w:rPr>
          <w:b/>
          <w:sz w:val="24"/>
          <w:szCs w:val="24"/>
        </w:rPr>
      </w:pPr>
    </w:p>
    <w:p w:rsidR="008E5B66" w:rsidRDefault="008E5B66" w:rsidP="008E5B6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Attorneys’ Arguments:</w:t>
      </w:r>
    </w:p>
    <w:p w:rsidR="008E5B66" w:rsidRPr="00CC2681" w:rsidRDefault="00CC2681" w:rsidP="00C87419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CC2681">
        <w:rPr>
          <w:b/>
          <w:sz w:val="24"/>
          <w:szCs w:val="24"/>
        </w:rPr>
        <w:t>Gov’t:</w:t>
      </w:r>
      <w:r>
        <w:rPr>
          <w:sz w:val="24"/>
          <w:szCs w:val="24"/>
        </w:rPr>
        <w:t xml:space="preserve"> The BIA qualifies as “an administrative officer” who has the delegated authority to initiate removal proceedings. (But no, DOJ didn’t give you that authority: you are an appellate body.)</w:t>
      </w:r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552EC4" w:rsidRDefault="00552EC4" w:rsidP="00C8741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Appeals to Statute &amp; Precedent:</w:t>
      </w:r>
    </w:p>
    <w:p w:rsidR="00D45338" w:rsidRPr="00D45338" w:rsidRDefault="00D45338" w:rsidP="00D45338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8 U.S.C. §1101(a</w:t>
      </w:r>
      <w:proofErr w:type="gramStart"/>
      <w:r>
        <w:rPr>
          <w:b/>
          <w:sz w:val="24"/>
          <w:szCs w:val="24"/>
        </w:rPr>
        <w:t>)(</w:t>
      </w:r>
      <w:proofErr w:type="gramEnd"/>
      <w:r>
        <w:rPr>
          <w:b/>
          <w:sz w:val="24"/>
          <w:szCs w:val="24"/>
        </w:rPr>
        <w:t>47)(A):</w:t>
      </w:r>
      <w:r>
        <w:rPr>
          <w:sz w:val="24"/>
          <w:szCs w:val="24"/>
        </w:rPr>
        <w:t xml:space="preserve"> First step of removal = IJ must conclude that alien is removable.</w:t>
      </w:r>
    </w:p>
    <w:p w:rsidR="00D45338" w:rsidRPr="00D45338" w:rsidRDefault="00D45338" w:rsidP="00D45338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8 U.S.C. §1101(a</w:t>
      </w:r>
      <w:proofErr w:type="gramStart"/>
      <w:r>
        <w:rPr>
          <w:b/>
          <w:sz w:val="24"/>
          <w:szCs w:val="24"/>
        </w:rPr>
        <w:t>)(</w:t>
      </w:r>
      <w:proofErr w:type="gramEnd"/>
      <w:r>
        <w:rPr>
          <w:b/>
          <w:sz w:val="24"/>
          <w:szCs w:val="24"/>
        </w:rPr>
        <w:t xml:space="preserve">47)(B): </w:t>
      </w:r>
      <w:r>
        <w:rPr>
          <w:sz w:val="24"/>
          <w:szCs w:val="24"/>
        </w:rPr>
        <w:t>Second step = BIA finalizes this by affirming ^^.</w:t>
      </w:r>
    </w:p>
    <w:p w:rsidR="00D45338" w:rsidRPr="00D45338" w:rsidRDefault="00D45338" w:rsidP="00D45338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8 U.S.C. §1227(a)(2)(B)(</w:t>
      </w:r>
      <w:proofErr w:type="spellStart"/>
      <w:r>
        <w:rPr>
          <w:b/>
          <w:sz w:val="24"/>
          <w:szCs w:val="24"/>
        </w:rPr>
        <w:t>i</w:t>
      </w:r>
      <w:proofErr w:type="spellEnd"/>
      <w:r>
        <w:rPr>
          <w:b/>
          <w:sz w:val="24"/>
          <w:szCs w:val="24"/>
        </w:rPr>
        <w:t>):</w:t>
      </w:r>
      <w:r>
        <w:rPr>
          <w:sz w:val="24"/>
          <w:szCs w:val="24"/>
        </w:rPr>
        <w:t xml:space="preserve"> controlled-substance offenses</w:t>
      </w:r>
    </w:p>
    <w:p w:rsidR="00D45338" w:rsidRPr="00D45338" w:rsidRDefault="00D45338" w:rsidP="00D45338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8 U.S.C. §1229a(a)(1):</w:t>
      </w:r>
      <w:r>
        <w:rPr>
          <w:sz w:val="24"/>
          <w:szCs w:val="24"/>
        </w:rPr>
        <w:t xml:space="preserve"> “expressly vests immigration judges with the authority to conduct removal proceedings in the first instance.” (5)</w:t>
      </w:r>
    </w:p>
    <w:p w:rsidR="00D45338" w:rsidRPr="00D45338" w:rsidRDefault="00D45338" w:rsidP="00D45338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8 U.S.C. §1252:</w:t>
      </w:r>
      <w:r>
        <w:rPr>
          <w:sz w:val="24"/>
          <w:szCs w:val="24"/>
        </w:rPr>
        <w:t xml:space="preserve"> INA empowers circuit court only to review a final order of removal.</w:t>
      </w:r>
    </w:p>
    <w:p w:rsidR="00D45338" w:rsidRPr="00D45338" w:rsidRDefault="00D45338" w:rsidP="00D45338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Lopez v. Lynch </w:t>
      </w:r>
      <w:r>
        <w:rPr>
          <w:b/>
          <w:sz w:val="24"/>
          <w:szCs w:val="24"/>
        </w:rPr>
        <w:t>[810 F.3d 484 (7</w:t>
      </w:r>
      <w:r w:rsidRPr="00D45338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Cir. 2016)]:</w:t>
      </w:r>
      <w:r>
        <w:rPr>
          <w:sz w:val="24"/>
          <w:szCs w:val="24"/>
        </w:rPr>
        <w:t xml:space="preserve"> on modified categorical approach to removable offenses (re. divisible law).</w:t>
      </w:r>
    </w:p>
    <w:p w:rsidR="00D45338" w:rsidRPr="00D45338" w:rsidRDefault="00D45338" w:rsidP="00D45338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Descamps v. U.S. </w:t>
      </w:r>
      <w:r>
        <w:rPr>
          <w:b/>
          <w:sz w:val="24"/>
          <w:szCs w:val="24"/>
        </w:rPr>
        <w:t>[570 U.S. 254 (2013)]:</w:t>
      </w:r>
      <w:r>
        <w:rPr>
          <w:sz w:val="24"/>
          <w:szCs w:val="24"/>
        </w:rPr>
        <w:t xml:space="preserve"> What appeals court may consult if there’s a divisible law, to see whether the offense fell into the removable category or not.</w:t>
      </w:r>
    </w:p>
    <w:p w:rsidR="00D45338" w:rsidRPr="00D45338" w:rsidRDefault="00D45338" w:rsidP="00D45338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Guevara v. Gonzales </w:t>
      </w:r>
      <w:r>
        <w:rPr>
          <w:b/>
          <w:sz w:val="24"/>
          <w:szCs w:val="24"/>
        </w:rPr>
        <w:t>[472 F.3d 972 (7</w:t>
      </w:r>
      <w:r w:rsidRPr="00D45338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Cir. 2007):</w:t>
      </w:r>
      <w:r>
        <w:rPr>
          <w:sz w:val="24"/>
          <w:szCs w:val="24"/>
        </w:rPr>
        <w:t xml:space="preserve"> IJ found alien removable but waived it; BIA reversed; Seventh Circuit upheld BIA because IJ had determined removability originally. “Though not explicitly stated, inherent in our reasoning was the assumption that the Board is powerless to enter a removal order in the first instance.” (6)</w:t>
      </w:r>
    </w:p>
    <w:p w:rsidR="00D45338" w:rsidRDefault="00D45338" w:rsidP="00D45338">
      <w:pPr>
        <w:pStyle w:val="ListParagraph"/>
        <w:numPr>
          <w:ilvl w:val="1"/>
          <w:numId w:val="2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Rhodes-Bradford, </w:t>
      </w:r>
      <w:r>
        <w:rPr>
          <w:b/>
          <w:sz w:val="24"/>
          <w:szCs w:val="24"/>
        </w:rPr>
        <w:t xml:space="preserve">507 F.3d; Sosa-Valenzuela [483 F.3d]; </w:t>
      </w:r>
      <w:r>
        <w:rPr>
          <w:b/>
          <w:i/>
          <w:sz w:val="24"/>
          <w:szCs w:val="24"/>
        </w:rPr>
        <w:t xml:space="preserve">James v. Gonzales </w:t>
      </w:r>
      <w:r>
        <w:rPr>
          <w:b/>
          <w:sz w:val="24"/>
          <w:szCs w:val="24"/>
        </w:rPr>
        <w:t>[464 F.3d 505 (5</w:t>
      </w:r>
      <w:r w:rsidRPr="00D45338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Cir. 2006); </w:t>
      </w:r>
      <w:r>
        <w:rPr>
          <w:b/>
          <w:i/>
          <w:sz w:val="24"/>
          <w:szCs w:val="24"/>
        </w:rPr>
        <w:t xml:space="preserve">Noriega-Lopez v. Ashcroft </w:t>
      </w:r>
      <w:r>
        <w:rPr>
          <w:b/>
          <w:sz w:val="24"/>
          <w:szCs w:val="24"/>
        </w:rPr>
        <w:t>[335 F.3d 874 (9</w:t>
      </w:r>
      <w:r w:rsidRPr="00D45338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Cir. 2003)].</w:t>
      </w:r>
    </w:p>
    <w:p w:rsidR="009917BC" w:rsidRPr="00CC2681" w:rsidRDefault="00CC2681" w:rsidP="00C87419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Anderson v. Holder </w:t>
      </w:r>
      <w:r>
        <w:rPr>
          <w:b/>
          <w:sz w:val="24"/>
          <w:szCs w:val="24"/>
        </w:rPr>
        <w:t>[673 F.3d 1089 (9</w:t>
      </w:r>
      <w:r w:rsidRPr="00CC2681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Cir. 2012)]:</w:t>
      </w:r>
      <w:r>
        <w:rPr>
          <w:sz w:val="24"/>
          <w:szCs w:val="24"/>
        </w:rPr>
        <w:t xml:space="preserve"> dealt with wrongly deported U.S. citizen</w:t>
      </w:r>
    </w:p>
    <w:p w:rsidR="009917BC" w:rsidRDefault="009917BC" w:rsidP="00C87419">
      <w:pPr>
        <w:spacing w:after="0"/>
        <w:rPr>
          <w:b/>
          <w:sz w:val="24"/>
          <w:szCs w:val="24"/>
        </w:rPr>
      </w:pPr>
    </w:p>
    <w:p w:rsidR="00E16E68" w:rsidRDefault="00E16E68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Dicta:</w:t>
      </w:r>
    </w:p>
    <w:p w:rsidR="00552EC4" w:rsidRPr="00CC2681" w:rsidRDefault="00D45338" w:rsidP="00C87419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“Although we lack jurisdiction to review the Board’s classification of the drug-paraphernalia offenses, our jurisdiction to consider our own jurisdiction includes the authority to vacate the Board’s decision and remand as a remedy for the legal error we have identified in our jurisdictional decision.” (2)</w:t>
      </w:r>
    </w:p>
    <w:p w:rsidR="00552EC4" w:rsidRDefault="00552EC4" w:rsidP="00C87419">
      <w:pPr>
        <w:spacing w:after="0"/>
        <w:rPr>
          <w:b/>
          <w:sz w:val="24"/>
          <w:szCs w:val="24"/>
        </w:rPr>
      </w:pPr>
    </w:p>
    <w:p w:rsidR="00E16E68" w:rsidRPr="00E16E68" w:rsidRDefault="00E16E68" w:rsidP="00C87419">
      <w:pPr>
        <w:spacing w:after="0"/>
        <w:rPr>
          <w:b/>
          <w:sz w:val="24"/>
          <w:szCs w:val="24"/>
        </w:rPr>
      </w:pPr>
    </w:p>
    <w:sectPr w:rsidR="00E16E68" w:rsidRPr="00E16E68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079C" w:rsidRDefault="0066079C" w:rsidP="00E16E68">
      <w:pPr>
        <w:spacing w:after="0" w:line="240" w:lineRule="auto"/>
      </w:pPr>
      <w:r>
        <w:separator/>
      </w:r>
    </w:p>
  </w:endnote>
  <w:endnote w:type="continuationSeparator" w:id="0">
    <w:p w:rsidR="0066079C" w:rsidRDefault="0066079C" w:rsidP="00E16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079C" w:rsidRDefault="0066079C" w:rsidP="00E16E68">
      <w:pPr>
        <w:spacing w:after="0" w:line="240" w:lineRule="auto"/>
      </w:pPr>
      <w:r>
        <w:separator/>
      </w:r>
    </w:p>
  </w:footnote>
  <w:footnote w:type="continuationSeparator" w:id="0">
    <w:p w:rsidR="0066079C" w:rsidRDefault="0066079C" w:rsidP="00E16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E68" w:rsidRDefault="00D45338" w:rsidP="00757CDB">
    <w:pPr>
      <w:pStyle w:val="Header"/>
      <w:jc w:val="right"/>
    </w:pPr>
    <w:r>
      <w:t xml:space="preserve">Seventh </w:t>
    </w:r>
    <w:r w:rsidR="006C420B">
      <w:t>Circuit</w:t>
    </w:r>
    <w:r w:rsidR="0016476D">
      <w:t xml:space="preserve"> Court</w:t>
    </w:r>
    <w:r w:rsidR="00E16E68">
      <w:tab/>
    </w:r>
    <w:r>
      <w:t>2018</w:t>
    </w:r>
    <w:r w:rsidR="00E16E68">
      <w:tab/>
    </w:r>
    <w:r>
      <w:rPr>
        <w:i/>
      </w:rPr>
      <w:t>Mejia Galindo v. Sessions</w:t>
    </w:r>
  </w:p>
  <w:p w:rsidR="00552EC4" w:rsidRDefault="00552EC4" w:rsidP="00552EC4">
    <w:pPr>
      <w:pStyle w:val="Header"/>
      <w:jc w:val="right"/>
    </w:pPr>
    <w:r>
      <w:tab/>
    </w:r>
    <w:r>
      <w:tab/>
    </w:r>
    <w:r w:rsidR="00CC2681">
      <w:t>AUTHORITY &amp; REMOVAL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A971FB"/>
    <w:multiLevelType w:val="hybridMultilevel"/>
    <w:tmpl w:val="4FC6C960"/>
    <w:lvl w:ilvl="0" w:tplc="32EC0306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9D5B6E"/>
    <w:multiLevelType w:val="hybridMultilevel"/>
    <w:tmpl w:val="FA2AE138"/>
    <w:lvl w:ilvl="0" w:tplc="85E0422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261FF2"/>
    <w:multiLevelType w:val="hybridMultilevel"/>
    <w:tmpl w:val="9808199E"/>
    <w:lvl w:ilvl="0" w:tplc="D76CF70E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9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6E68"/>
    <w:rsid w:val="00054BBC"/>
    <w:rsid w:val="00144D3B"/>
    <w:rsid w:val="0016476D"/>
    <w:rsid w:val="001B0867"/>
    <w:rsid w:val="00457D27"/>
    <w:rsid w:val="00552EC4"/>
    <w:rsid w:val="005D16E3"/>
    <w:rsid w:val="005E4739"/>
    <w:rsid w:val="0066079C"/>
    <w:rsid w:val="006C420B"/>
    <w:rsid w:val="00757CDB"/>
    <w:rsid w:val="007D1AC2"/>
    <w:rsid w:val="008A41F9"/>
    <w:rsid w:val="008E5B66"/>
    <w:rsid w:val="009917BC"/>
    <w:rsid w:val="00A65C5C"/>
    <w:rsid w:val="00A71E2C"/>
    <w:rsid w:val="00B330E3"/>
    <w:rsid w:val="00B564E2"/>
    <w:rsid w:val="00B667F9"/>
    <w:rsid w:val="00B778D1"/>
    <w:rsid w:val="00B856E4"/>
    <w:rsid w:val="00C87419"/>
    <w:rsid w:val="00CC2354"/>
    <w:rsid w:val="00CC2681"/>
    <w:rsid w:val="00CC3AFE"/>
    <w:rsid w:val="00CC7EEE"/>
    <w:rsid w:val="00CD6DF7"/>
    <w:rsid w:val="00D45338"/>
    <w:rsid w:val="00D66735"/>
    <w:rsid w:val="00E16E68"/>
    <w:rsid w:val="00E213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6E68"/>
  </w:style>
  <w:style w:type="paragraph" w:styleId="Footer">
    <w:name w:val="footer"/>
    <w:basedOn w:val="Normal"/>
    <w:link w:val="Foot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7CD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586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</cp:lastModifiedBy>
  <cp:revision>2</cp:revision>
  <dcterms:created xsi:type="dcterms:W3CDTF">2018-10-22T16:31:00Z</dcterms:created>
  <dcterms:modified xsi:type="dcterms:W3CDTF">2018-10-22T16:31:00Z</dcterms:modified>
</cp:coreProperties>
</file>