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41B9" w:rsidRPr="00077658" w:rsidRDefault="00077658" w:rsidP="00E67911">
      <w:pPr>
        <w:spacing w:after="0"/>
        <w:jc w:val="center"/>
        <w:rPr>
          <w:b/>
          <w:sz w:val="24"/>
          <w:szCs w:val="24"/>
        </w:rPr>
      </w:pPr>
      <w:r w:rsidRPr="00077658">
        <w:rPr>
          <w:b/>
          <w:sz w:val="24"/>
          <w:szCs w:val="24"/>
        </w:rPr>
        <w:t>Immigration Court:</w:t>
      </w:r>
      <w:r w:rsidR="005C610B">
        <w:rPr>
          <w:b/>
          <w:sz w:val="24"/>
          <w:szCs w:val="24"/>
        </w:rPr>
        <w:t xml:space="preserve"> BIA</w:t>
      </w:r>
    </w:p>
    <w:p w:rsidR="00077658" w:rsidRPr="005C610B" w:rsidRDefault="00077658" w:rsidP="00E67911">
      <w:pPr>
        <w:spacing w:after="0"/>
        <w:rPr>
          <w:sz w:val="24"/>
          <w:szCs w:val="24"/>
        </w:rPr>
      </w:pPr>
      <w:r w:rsidRPr="00077658">
        <w:rPr>
          <w:b/>
          <w:sz w:val="24"/>
          <w:szCs w:val="24"/>
        </w:rPr>
        <w:t>Ca</w:t>
      </w:r>
      <w:r>
        <w:rPr>
          <w:b/>
          <w:sz w:val="24"/>
          <w:szCs w:val="24"/>
        </w:rPr>
        <w:t>se:</w:t>
      </w:r>
      <w:r>
        <w:rPr>
          <w:b/>
          <w:sz w:val="24"/>
          <w:szCs w:val="24"/>
        </w:rPr>
        <w:tab/>
      </w:r>
      <w:r w:rsidR="005C610B">
        <w:rPr>
          <w:i/>
          <w:sz w:val="24"/>
          <w:szCs w:val="24"/>
        </w:rPr>
        <w:t>Matter of L-E-A-</w:t>
      </w:r>
      <w:r w:rsidR="005C610B">
        <w:rPr>
          <w:sz w:val="24"/>
          <w:szCs w:val="24"/>
        </w:rPr>
        <w:t>, 27 I&amp;N Dec. 40 (BIA 2017)</w:t>
      </w:r>
      <w:r>
        <w:rPr>
          <w:b/>
          <w:sz w:val="24"/>
          <w:szCs w:val="24"/>
        </w:rPr>
        <w:tab/>
      </w:r>
      <w:r>
        <w:rPr>
          <w:b/>
          <w:sz w:val="24"/>
          <w:szCs w:val="24"/>
        </w:rPr>
        <w:tab/>
      </w:r>
      <w:r>
        <w:rPr>
          <w:b/>
          <w:sz w:val="24"/>
          <w:szCs w:val="24"/>
        </w:rPr>
        <w:tab/>
        <w:t>Date:</w:t>
      </w:r>
      <w:r w:rsidR="005C610B">
        <w:rPr>
          <w:sz w:val="24"/>
          <w:szCs w:val="24"/>
        </w:rPr>
        <w:t xml:space="preserve"> May 24, 2017</w:t>
      </w:r>
    </w:p>
    <w:p w:rsidR="00077658" w:rsidRDefault="00077658" w:rsidP="00E67911">
      <w:pPr>
        <w:spacing w:after="0"/>
        <w:rPr>
          <w:sz w:val="24"/>
          <w:szCs w:val="24"/>
        </w:rPr>
      </w:pPr>
      <w:r>
        <w:rPr>
          <w:b/>
          <w:sz w:val="24"/>
          <w:szCs w:val="24"/>
        </w:rPr>
        <w:t>Adjudicated by:</w:t>
      </w:r>
      <w:r w:rsidR="005C610B">
        <w:rPr>
          <w:sz w:val="24"/>
          <w:szCs w:val="24"/>
        </w:rPr>
        <w:t xml:space="preserve"> Board Panel</w:t>
      </w:r>
      <w:r>
        <w:rPr>
          <w:b/>
          <w:sz w:val="24"/>
          <w:szCs w:val="24"/>
        </w:rPr>
        <w:tab/>
      </w:r>
      <w:r>
        <w:rPr>
          <w:b/>
          <w:sz w:val="24"/>
          <w:szCs w:val="24"/>
        </w:rPr>
        <w:tab/>
      </w:r>
      <w:r>
        <w:rPr>
          <w:b/>
          <w:sz w:val="24"/>
          <w:szCs w:val="24"/>
        </w:rPr>
        <w:tab/>
      </w:r>
      <w:r>
        <w:rPr>
          <w:b/>
          <w:sz w:val="24"/>
          <w:szCs w:val="24"/>
        </w:rPr>
        <w:tab/>
        <w:t>Opinion:</w:t>
      </w:r>
      <w:r w:rsidR="005C610B">
        <w:rPr>
          <w:sz w:val="24"/>
          <w:szCs w:val="24"/>
        </w:rPr>
        <w:t xml:space="preserve"> Greer, Board Member</w:t>
      </w:r>
    </w:p>
    <w:p w:rsidR="005C610B" w:rsidRPr="005C610B" w:rsidRDefault="005C610B" w:rsidP="00E67911">
      <w:pPr>
        <w:spacing w:after="0"/>
        <w:rPr>
          <w:sz w:val="24"/>
          <w:szCs w:val="24"/>
        </w:rPr>
      </w:pPr>
    </w:p>
    <w:p w:rsidR="00077658" w:rsidRPr="005C610B" w:rsidRDefault="00077658" w:rsidP="00E67911">
      <w:pPr>
        <w:spacing w:after="0"/>
        <w:rPr>
          <w:sz w:val="24"/>
          <w:szCs w:val="24"/>
        </w:rPr>
      </w:pPr>
      <w:r>
        <w:rPr>
          <w:b/>
          <w:sz w:val="24"/>
          <w:szCs w:val="24"/>
        </w:rPr>
        <w:t>Tags:</w:t>
      </w:r>
      <w:r w:rsidR="005C610B">
        <w:rPr>
          <w:sz w:val="24"/>
          <w:szCs w:val="24"/>
        </w:rPr>
        <w:t xml:space="preserve"> Cognizable social group, asylum, family members, </w:t>
      </w:r>
      <w:r w:rsidR="000A0CF8">
        <w:rPr>
          <w:sz w:val="24"/>
          <w:szCs w:val="24"/>
        </w:rPr>
        <w:t>nexus</w:t>
      </w:r>
    </w:p>
    <w:p w:rsidR="005C610B" w:rsidRDefault="005C610B" w:rsidP="00E67911">
      <w:pPr>
        <w:spacing w:after="0"/>
        <w:rPr>
          <w:b/>
          <w:sz w:val="24"/>
          <w:szCs w:val="24"/>
        </w:rPr>
      </w:pPr>
    </w:p>
    <w:p w:rsidR="00077658" w:rsidRPr="005C610B" w:rsidRDefault="00077658" w:rsidP="00E67911">
      <w:pPr>
        <w:spacing w:after="0"/>
        <w:rPr>
          <w:sz w:val="24"/>
          <w:szCs w:val="24"/>
        </w:rPr>
      </w:pPr>
      <w:r>
        <w:rPr>
          <w:b/>
          <w:sz w:val="24"/>
          <w:szCs w:val="24"/>
        </w:rPr>
        <w:t>Question Presented:</w:t>
      </w:r>
      <w:r w:rsidR="005C610B">
        <w:rPr>
          <w:sz w:val="24"/>
          <w:szCs w:val="24"/>
        </w:rPr>
        <w:t xml:space="preserve"> Has the respondent established eligibility for asylum based on membership in a particular social group composed of his family?</w:t>
      </w:r>
    </w:p>
    <w:p w:rsidR="00077658" w:rsidRDefault="00077658" w:rsidP="00E67911">
      <w:pPr>
        <w:spacing w:after="0"/>
        <w:rPr>
          <w:b/>
          <w:sz w:val="24"/>
          <w:szCs w:val="24"/>
        </w:rPr>
      </w:pPr>
    </w:p>
    <w:p w:rsidR="00077658" w:rsidRPr="000A0CF8" w:rsidRDefault="00077658" w:rsidP="00E67911">
      <w:pPr>
        <w:spacing w:after="0"/>
        <w:rPr>
          <w:sz w:val="24"/>
          <w:szCs w:val="24"/>
        </w:rPr>
      </w:pPr>
      <w:r>
        <w:rPr>
          <w:b/>
          <w:sz w:val="24"/>
          <w:szCs w:val="24"/>
        </w:rPr>
        <w:t>Holdings:</w:t>
      </w:r>
      <w:r w:rsidR="000A0CF8">
        <w:rPr>
          <w:sz w:val="24"/>
          <w:szCs w:val="24"/>
        </w:rPr>
        <w:t xml:space="preserve"> Respondent did not prove that membership in his family group is at least one reason for the persecution he suffered.</w:t>
      </w:r>
    </w:p>
    <w:p w:rsidR="00077658" w:rsidRDefault="00077658" w:rsidP="00E67911">
      <w:pPr>
        <w:spacing w:after="0"/>
        <w:rPr>
          <w:b/>
          <w:sz w:val="24"/>
          <w:szCs w:val="24"/>
        </w:rPr>
      </w:pPr>
    </w:p>
    <w:p w:rsidR="00077658" w:rsidRDefault="00077658" w:rsidP="00E67911">
      <w:pPr>
        <w:spacing w:after="0"/>
        <w:rPr>
          <w:sz w:val="24"/>
          <w:szCs w:val="24"/>
        </w:rPr>
      </w:pPr>
      <w:r>
        <w:rPr>
          <w:b/>
          <w:sz w:val="24"/>
          <w:szCs w:val="24"/>
        </w:rPr>
        <w:t>Rationale:</w:t>
      </w:r>
    </w:p>
    <w:p w:rsidR="005F349A" w:rsidRPr="005F349A" w:rsidRDefault="005F349A" w:rsidP="005F349A">
      <w:pPr>
        <w:pStyle w:val="ListParagraph"/>
        <w:numPr>
          <w:ilvl w:val="0"/>
          <w:numId w:val="3"/>
        </w:numPr>
        <w:spacing w:after="0"/>
        <w:rPr>
          <w:sz w:val="24"/>
          <w:szCs w:val="24"/>
        </w:rPr>
      </w:pPr>
      <w:r>
        <w:rPr>
          <w:sz w:val="24"/>
          <w:szCs w:val="24"/>
        </w:rPr>
        <w:t>“While family may be a particular social group, membership in such a group does not necessarily establish a nexus to a ground protected under the Act. Rather, the respondent must demonstrate that the family relationship is at least one central reason for the claimed harm to establish eligibility for asylum on that basis.” (40)</w:t>
      </w:r>
    </w:p>
    <w:p w:rsidR="00077658" w:rsidRDefault="00077658" w:rsidP="00E67911">
      <w:pPr>
        <w:spacing w:after="0"/>
        <w:rPr>
          <w:b/>
          <w:sz w:val="24"/>
          <w:szCs w:val="24"/>
        </w:rPr>
      </w:pPr>
    </w:p>
    <w:p w:rsidR="00077658" w:rsidRPr="005C610B" w:rsidRDefault="00077658" w:rsidP="00E67911">
      <w:pPr>
        <w:spacing w:after="0"/>
        <w:rPr>
          <w:sz w:val="24"/>
          <w:szCs w:val="24"/>
        </w:rPr>
      </w:pPr>
      <w:r>
        <w:rPr>
          <w:b/>
          <w:sz w:val="24"/>
          <w:szCs w:val="24"/>
        </w:rPr>
        <w:t>Facts:</w:t>
      </w:r>
      <w:r w:rsidR="005C610B">
        <w:rPr>
          <w:sz w:val="24"/>
          <w:szCs w:val="24"/>
        </w:rPr>
        <w:t xml:space="preserve"> Respondent </w:t>
      </w:r>
      <w:r w:rsidR="005F349A">
        <w:rPr>
          <w:sz w:val="24"/>
          <w:szCs w:val="24"/>
        </w:rPr>
        <w:t xml:space="preserve">citizen of MX who entered U.S. in 1998 and departed voluntarily in 2011. </w:t>
      </w:r>
      <w:proofErr w:type="gramStart"/>
      <w:r w:rsidR="005F349A">
        <w:rPr>
          <w:sz w:val="24"/>
          <w:szCs w:val="24"/>
        </w:rPr>
        <w:t>Pressured by members of drug cartel to sell drugs at his father’s store in Mexico City.</w:t>
      </w:r>
      <w:proofErr w:type="gramEnd"/>
      <w:r w:rsidR="005F349A">
        <w:rPr>
          <w:sz w:val="24"/>
          <w:szCs w:val="24"/>
        </w:rPr>
        <w:t xml:space="preserve"> Escaped to U.S. Claimed well-founded fear of persecution because part of father’s family. </w:t>
      </w:r>
    </w:p>
    <w:p w:rsidR="00077658" w:rsidRDefault="00077658" w:rsidP="00E67911">
      <w:pPr>
        <w:spacing w:after="0"/>
        <w:rPr>
          <w:b/>
          <w:sz w:val="24"/>
          <w:szCs w:val="24"/>
        </w:rPr>
      </w:pPr>
    </w:p>
    <w:p w:rsidR="00077658" w:rsidRDefault="00077658" w:rsidP="00E67911">
      <w:pPr>
        <w:spacing w:after="0"/>
        <w:rPr>
          <w:b/>
          <w:sz w:val="24"/>
          <w:szCs w:val="24"/>
        </w:rPr>
      </w:pPr>
      <w:r>
        <w:rPr>
          <w:b/>
          <w:sz w:val="24"/>
          <w:szCs w:val="24"/>
        </w:rPr>
        <w:t>History of the Case:</w:t>
      </w:r>
    </w:p>
    <w:p w:rsidR="005F349A" w:rsidRPr="005F349A" w:rsidRDefault="005F349A" w:rsidP="005F349A">
      <w:pPr>
        <w:pStyle w:val="ListParagraph"/>
        <w:numPr>
          <w:ilvl w:val="0"/>
          <w:numId w:val="3"/>
        </w:numPr>
        <w:spacing w:after="0"/>
        <w:rPr>
          <w:b/>
          <w:sz w:val="24"/>
          <w:szCs w:val="24"/>
        </w:rPr>
      </w:pPr>
      <w:r>
        <w:rPr>
          <w:sz w:val="24"/>
          <w:szCs w:val="24"/>
        </w:rPr>
        <w:t>IJ found respondent credible, but denied asylum on the basis of family membership because drug cartel was interested in father’s store, not persecuting family per se.</w:t>
      </w:r>
    </w:p>
    <w:p w:rsidR="00077658" w:rsidRDefault="00077658" w:rsidP="00E67911">
      <w:pPr>
        <w:spacing w:after="0"/>
        <w:rPr>
          <w:b/>
          <w:sz w:val="24"/>
          <w:szCs w:val="24"/>
        </w:rPr>
      </w:pPr>
    </w:p>
    <w:p w:rsidR="00077658" w:rsidRDefault="00077658" w:rsidP="00E67911">
      <w:pPr>
        <w:spacing w:after="0"/>
        <w:rPr>
          <w:b/>
          <w:sz w:val="24"/>
          <w:szCs w:val="24"/>
        </w:rPr>
      </w:pPr>
      <w:r>
        <w:rPr>
          <w:b/>
          <w:sz w:val="24"/>
          <w:szCs w:val="24"/>
        </w:rPr>
        <w:t>Appeals to Statute &amp; Precedent:</w:t>
      </w:r>
    </w:p>
    <w:p w:rsidR="005C610B" w:rsidRPr="005F349A" w:rsidRDefault="005C610B" w:rsidP="005C610B">
      <w:pPr>
        <w:pStyle w:val="ListParagraph"/>
        <w:numPr>
          <w:ilvl w:val="0"/>
          <w:numId w:val="2"/>
        </w:numPr>
        <w:spacing w:after="0"/>
        <w:rPr>
          <w:b/>
          <w:sz w:val="24"/>
          <w:szCs w:val="24"/>
        </w:rPr>
      </w:pPr>
      <w:r>
        <w:rPr>
          <w:b/>
          <w:sz w:val="24"/>
          <w:szCs w:val="24"/>
        </w:rPr>
        <w:t xml:space="preserve">8 U.S.C. </w:t>
      </w:r>
      <w:r>
        <w:rPr>
          <w:rFonts w:cstheme="minorHAnsi"/>
          <w:b/>
          <w:sz w:val="24"/>
          <w:szCs w:val="24"/>
        </w:rPr>
        <w:t>§</w:t>
      </w:r>
      <w:r>
        <w:rPr>
          <w:b/>
          <w:sz w:val="24"/>
          <w:szCs w:val="24"/>
        </w:rPr>
        <w:t>1158</w:t>
      </w:r>
      <w:r w:rsidR="005F349A">
        <w:rPr>
          <w:b/>
          <w:sz w:val="24"/>
          <w:szCs w:val="24"/>
        </w:rPr>
        <w:t>:</w:t>
      </w:r>
      <w:r w:rsidR="005F349A">
        <w:rPr>
          <w:sz w:val="24"/>
          <w:szCs w:val="24"/>
        </w:rPr>
        <w:t xml:space="preserve"> Asylum statute.</w:t>
      </w:r>
    </w:p>
    <w:p w:rsidR="003A0429" w:rsidRPr="003A0429" w:rsidRDefault="003A0429" w:rsidP="005C610B">
      <w:pPr>
        <w:pStyle w:val="ListParagraph"/>
        <w:numPr>
          <w:ilvl w:val="0"/>
          <w:numId w:val="2"/>
        </w:numPr>
        <w:spacing w:after="0"/>
        <w:rPr>
          <w:b/>
          <w:sz w:val="24"/>
          <w:szCs w:val="24"/>
        </w:rPr>
      </w:pPr>
      <w:r>
        <w:rPr>
          <w:b/>
          <w:i/>
          <w:sz w:val="24"/>
          <w:szCs w:val="24"/>
        </w:rPr>
        <w:t>Matter of Acosta</w:t>
      </w:r>
      <w:r>
        <w:rPr>
          <w:b/>
          <w:sz w:val="24"/>
          <w:szCs w:val="24"/>
        </w:rPr>
        <w:t>, 19 I&amp;N Dec. 211, 233 (BIA 1985):</w:t>
      </w:r>
      <w:r>
        <w:rPr>
          <w:sz w:val="24"/>
          <w:szCs w:val="24"/>
        </w:rPr>
        <w:t xml:space="preserve"> kinship ties as common, immutable characteristic</w:t>
      </w:r>
    </w:p>
    <w:p w:rsidR="003A0429" w:rsidRPr="003A0429" w:rsidRDefault="003A0429" w:rsidP="005C610B">
      <w:pPr>
        <w:pStyle w:val="ListParagraph"/>
        <w:numPr>
          <w:ilvl w:val="0"/>
          <w:numId w:val="2"/>
        </w:numPr>
        <w:spacing w:after="0"/>
        <w:rPr>
          <w:b/>
          <w:sz w:val="24"/>
          <w:szCs w:val="24"/>
        </w:rPr>
      </w:pPr>
      <w:proofErr w:type="spellStart"/>
      <w:r>
        <w:rPr>
          <w:b/>
          <w:i/>
          <w:sz w:val="24"/>
          <w:szCs w:val="24"/>
        </w:rPr>
        <w:t>Gebremichael</w:t>
      </w:r>
      <w:proofErr w:type="spellEnd"/>
      <w:r>
        <w:rPr>
          <w:b/>
          <w:i/>
          <w:sz w:val="24"/>
          <w:szCs w:val="24"/>
        </w:rPr>
        <w:t xml:space="preserve"> v. INS</w:t>
      </w:r>
      <w:r>
        <w:rPr>
          <w:b/>
          <w:sz w:val="24"/>
          <w:szCs w:val="24"/>
        </w:rPr>
        <w:t>, 10 F.3d 28, 36 (1</w:t>
      </w:r>
      <w:r w:rsidRPr="00DD52B8">
        <w:rPr>
          <w:b/>
          <w:sz w:val="24"/>
          <w:szCs w:val="24"/>
          <w:vertAlign w:val="superscript"/>
        </w:rPr>
        <w:t>st</w:t>
      </w:r>
      <w:r>
        <w:rPr>
          <w:b/>
          <w:sz w:val="24"/>
          <w:szCs w:val="24"/>
        </w:rPr>
        <w:t xml:space="preserve"> Cir. 1993):</w:t>
      </w:r>
      <w:r w:rsidRPr="00DD52B8">
        <w:rPr>
          <w:sz w:val="24"/>
          <w:szCs w:val="24"/>
        </w:rPr>
        <w:t xml:space="preserve"> </w:t>
      </w:r>
      <w:r>
        <w:rPr>
          <w:sz w:val="24"/>
          <w:szCs w:val="24"/>
        </w:rPr>
        <w:t>family as cognizable social group</w:t>
      </w:r>
    </w:p>
    <w:p w:rsidR="003A0429" w:rsidRPr="003A0429" w:rsidRDefault="003A0429" w:rsidP="005C610B">
      <w:pPr>
        <w:pStyle w:val="ListParagraph"/>
        <w:numPr>
          <w:ilvl w:val="0"/>
          <w:numId w:val="2"/>
        </w:numPr>
        <w:spacing w:after="0"/>
        <w:rPr>
          <w:b/>
          <w:sz w:val="24"/>
          <w:szCs w:val="24"/>
        </w:rPr>
      </w:pPr>
      <w:proofErr w:type="spellStart"/>
      <w:r>
        <w:rPr>
          <w:b/>
          <w:i/>
          <w:sz w:val="24"/>
          <w:szCs w:val="24"/>
        </w:rPr>
        <w:t>Jie</w:t>
      </w:r>
      <w:proofErr w:type="spellEnd"/>
      <w:r>
        <w:rPr>
          <w:b/>
          <w:i/>
          <w:sz w:val="24"/>
          <w:szCs w:val="24"/>
        </w:rPr>
        <w:t xml:space="preserve"> Lin v. Ashcroft</w:t>
      </w:r>
      <w:r>
        <w:rPr>
          <w:b/>
          <w:sz w:val="24"/>
          <w:szCs w:val="24"/>
        </w:rPr>
        <w:t>, 377 F.3d 1014, 1028 (9</w:t>
      </w:r>
      <w:r w:rsidRPr="00DD52B8">
        <w:rPr>
          <w:b/>
          <w:sz w:val="24"/>
          <w:szCs w:val="24"/>
          <w:vertAlign w:val="superscript"/>
        </w:rPr>
        <w:t>th</w:t>
      </w:r>
      <w:r>
        <w:rPr>
          <w:b/>
          <w:sz w:val="24"/>
          <w:szCs w:val="24"/>
        </w:rPr>
        <w:t xml:space="preserve"> Cir. 2004):</w:t>
      </w:r>
      <w:r>
        <w:rPr>
          <w:sz w:val="24"/>
          <w:szCs w:val="24"/>
        </w:rPr>
        <w:t xml:space="preserve"> attenuated family links not enough to confer particular social group membership</w:t>
      </w:r>
    </w:p>
    <w:p w:rsidR="003A0429" w:rsidRPr="003A0429" w:rsidRDefault="003A0429" w:rsidP="005C610B">
      <w:pPr>
        <w:pStyle w:val="ListParagraph"/>
        <w:numPr>
          <w:ilvl w:val="0"/>
          <w:numId w:val="2"/>
        </w:numPr>
        <w:spacing w:after="0"/>
        <w:rPr>
          <w:b/>
          <w:sz w:val="24"/>
          <w:szCs w:val="24"/>
        </w:rPr>
      </w:pPr>
      <w:r>
        <w:rPr>
          <w:b/>
          <w:i/>
          <w:sz w:val="24"/>
          <w:szCs w:val="24"/>
        </w:rPr>
        <w:t>Matter of J-B-N- &amp; S-M-</w:t>
      </w:r>
      <w:r>
        <w:rPr>
          <w:b/>
          <w:sz w:val="24"/>
          <w:szCs w:val="24"/>
        </w:rPr>
        <w:t xml:space="preserve">, </w:t>
      </w:r>
      <w:proofErr w:type="gramStart"/>
      <w:r>
        <w:rPr>
          <w:b/>
          <w:sz w:val="24"/>
          <w:szCs w:val="24"/>
        </w:rPr>
        <w:t>24 I</w:t>
      </w:r>
      <w:proofErr w:type="gramEnd"/>
      <w:r>
        <w:rPr>
          <w:b/>
          <w:sz w:val="24"/>
          <w:szCs w:val="24"/>
        </w:rPr>
        <w:t>&amp;N Dec. 208, 212 (BIA 2007):</w:t>
      </w:r>
      <w:r>
        <w:rPr>
          <w:sz w:val="24"/>
          <w:szCs w:val="24"/>
        </w:rPr>
        <w:t xml:space="preserve"> membership in the social group must be at least one central reason for the persecutor’s treatment of the applicant.</w:t>
      </w:r>
    </w:p>
    <w:p w:rsidR="003A0429" w:rsidRPr="003A0429" w:rsidRDefault="003A0429" w:rsidP="005C610B">
      <w:pPr>
        <w:pStyle w:val="ListParagraph"/>
        <w:numPr>
          <w:ilvl w:val="0"/>
          <w:numId w:val="2"/>
        </w:numPr>
        <w:spacing w:after="0"/>
        <w:rPr>
          <w:b/>
          <w:sz w:val="24"/>
          <w:szCs w:val="24"/>
        </w:rPr>
      </w:pPr>
      <w:proofErr w:type="spellStart"/>
      <w:r>
        <w:rPr>
          <w:b/>
          <w:i/>
          <w:sz w:val="24"/>
          <w:szCs w:val="24"/>
        </w:rPr>
        <w:t>Vimi</w:t>
      </w:r>
      <w:proofErr w:type="spellEnd"/>
      <w:r>
        <w:rPr>
          <w:b/>
          <w:i/>
          <w:sz w:val="24"/>
          <w:szCs w:val="24"/>
        </w:rPr>
        <w:t xml:space="preserve"> v. Gonzales</w:t>
      </w:r>
      <w:r>
        <w:rPr>
          <w:b/>
          <w:sz w:val="24"/>
          <w:szCs w:val="24"/>
        </w:rPr>
        <w:t>, 502 F.3d 150, 155 (2d Cir. 2007):</w:t>
      </w:r>
      <w:r>
        <w:rPr>
          <w:sz w:val="24"/>
          <w:szCs w:val="24"/>
        </w:rPr>
        <w:t xml:space="preserve"> recognizing family members as a possible particular social group</w:t>
      </w:r>
    </w:p>
    <w:p w:rsidR="005F349A" w:rsidRPr="003A0429" w:rsidRDefault="005F349A" w:rsidP="005C610B">
      <w:pPr>
        <w:pStyle w:val="ListParagraph"/>
        <w:numPr>
          <w:ilvl w:val="0"/>
          <w:numId w:val="2"/>
        </w:numPr>
        <w:spacing w:after="0"/>
        <w:rPr>
          <w:b/>
          <w:sz w:val="24"/>
          <w:szCs w:val="24"/>
        </w:rPr>
      </w:pPr>
      <w:r>
        <w:rPr>
          <w:b/>
          <w:i/>
          <w:sz w:val="24"/>
          <w:szCs w:val="24"/>
        </w:rPr>
        <w:lastRenderedPageBreak/>
        <w:t>Matter of C-A-</w:t>
      </w:r>
      <w:r>
        <w:rPr>
          <w:b/>
          <w:sz w:val="24"/>
          <w:szCs w:val="24"/>
        </w:rPr>
        <w:t>, 23 I&amp;N Dec. 951, 959 (BIA 2009):</w:t>
      </w:r>
      <w:r>
        <w:rPr>
          <w:sz w:val="24"/>
          <w:szCs w:val="24"/>
        </w:rPr>
        <w:t xml:space="preserve"> cognizable social groups based on sex or family relationship</w:t>
      </w:r>
    </w:p>
    <w:p w:rsidR="003A0429" w:rsidRPr="00DD52B8" w:rsidRDefault="003A0429" w:rsidP="003A0429">
      <w:pPr>
        <w:pStyle w:val="ListParagraph"/>
        <w:numPr>
          <w:ilvl w:val="0"/>
          <w:numId w:val="2"/>
        </w:numPr>
        <w:spacing w:after="0"/>
        <w:rPr>
          <w:b/>
          <w:sz w:val="24"/>
          <w:szCs w:val="24"/>
        </w:rPr>
      </w:pPr>
      <w:r>
        <w:rPr>
          <w:b/>
          <w:i/>
          <w:sz w:val="24"/>
          <w:szCs w:val="24"/>
        </w:rPr>
        <w:t>Al-</w:t>
      </w:r>
      <w:proofErr w:type="spellStart"/>
      <w:r>
        <w:rPr>
          <w:b/>
          <w:i/>
          <w:sz w:val="24"/>
          <w:szCs w:val="24"/>
        </w:rPr>
        <w:t>Ghorbani</w:t>
      </w:r>
      <w:proofErr w:type="spellEnd"/>
      <w:r>
        <w:rPr>
          <w:b/>
          <w:i/>
          <w:sz w:val="24"/>
          <w:szCs w:val="24"/>
        </w:rPr>
        <w:t xml:space="preserve"> v. Holder</w:t>
      </w:r>
      <w:r>
        <w:rPr>
          <w:b/>
          <w:sz w:val="24"/>
          <w:szCs w:val="24"/>
        </w:rPr>
        <w:t>, 585 F.3d 980, 995 (6</w:t>
      </w:r>
      <w:r w:rsidRPr="00DD52B8">
        <w:rPr>
          <w:b/>
          <w:sz w:val="24"/>
          <w:szCs w:val="24"/>
          <w:vertAlign w:val="superscript"/>
        </w:rPr>
        <w:t>th</w:t>
      </w:r>
      <w:r>
        <w:rPr>
          <w:b/>
          <w:sz w:val="24"/>
          <w:szCs w:val="24"/>
        </w:rPr>
        <w:t xml:space="preserve"> Cir. 2009):</w:t>
      </w:r>
      <w:r>
        <w:rPr>
          <w:sz w:val="24"/>
          <w:szCs w:val="24"/>
        </w:rPr>
        <w:t xml:space="preserve"> family as cognizable social group</w:t>
      </w:r>
    </w:p>
    <w:p w:rsidR="003A0429" w:rsidRPr="003A0429" w:rsidRDefault="003A0429" w:rsidP="003A0429">
      <w:pPr>
        <w:pStyle w:val="ListParagraph"/>
        <w:numPr>
          <w:ilvl w:val="0"/>
          <w:numId w:val="2"/>
        </w:numPr>
        <w:spacing w:after="0"/>
        <w:rPr>
          <w:b/>
          <w:sz w:val="24"/>
          <w:szCs w:val="24"/>
        </w:rPr>
      </w:pPr>
      <w:proofErr w:type="spellStart"/>
      <w:r>
        <w:rPr>
          <w:b/>
          <w:i/>
          <w:sz w:val="24"/>
          <w:szCs w:val="24"/>
        </w:rPr>
        <w:t>Ayele</w:t>
      </w:r>
      <w:proofErr w:type="spellEnd"/>
      <w:r>
        <w:rPr>
          <w:b/>
          <w:i/>
          <w:sz w:val="24"/>
          <w:szCs w:val="24"/>
        </w:rPr>
        <w:t xml:space="preserve"> v. Holder</w:t>
      </w:r>
      <w:r>
        <w:rPr>
          <w:b/>
          <w:sz w:val="24"/>
          <w:szCs w:val="24"/>
        </w:rPr>
        <w:t>, 564 F.3d 862, 869 (7</w:t>
      </w:r>
      <w:r w:rsidRPr="00DD52B8">
        <w:rPr>
          <w:b/>
          <w:sz w:val="24"/>
          <w:szCs w:val="24"/>
          <w:vertAlign w:val="superscript"/>
        </w:rPr>
        <w:t>th</w:t>
      </w:r>
      <w:r>
        <w:rPr>
          <w:b/>
          <w:sz w:val="24"/>
          <w:szCs w:val="24"/>
        </w:rPr>
        <w:t xml:space="preserve"> Cir. 2009):</w:t>
      </w:r>
      <w:r>
        <w:rPr>
          <w:sz w:val="24"/>
          <w:szCs w:val="24"/>
        </w:rPr>
        <w:t xml:space="preserve"> family as cognizable social group</w:t>
      </w:r>
    </w:p>
    <w:p w:rsidR="003A0429" w:rsidRPr="003A0429" w:rsidRDefault="003A0429" w:rsidP="005C610B">
      <w:pPr>
        <w:pStyle w:val="ListParagraph"/>
        <w:numPr>
          <w:ilvl w:val="0"/>
          <w:numId w:val="2"/>
        </w:numPr>
        <w:spacing w:after="0"/>
        <w:rPr>
          <w:b/>
          <w:sz w:val="24"/>
          <w:szCs w:val="24"/>
        </w:rPr>
      </w:pPr>
      <w:proofErr w:type="spellStart"/>
      <w:r>
        <w:rPr>
          <w:b/>
          <w:i/>
          <w:sz w:val="24"/>
          <w:szCs w:val="24"/>
        </w:rPr>
        <w:t>Crespin-Valladares</w:t>
      </w:r>
      <w:proofErr w:type="spellEnd"/>
      <w:r>
        <w:rPr>
          <w:b/>
          <w:i/>
          <w:sz w:val="24"/>
          <w:szCs w:val="24"/>
        </w:rPr>
        <w:t xml:space="preserve"> v. Holder</w:t>
      </w:r>
      <w:r>
        <w:rPr>
          <w:b/>
          <w:sz w:val="24"/>
          <w:szCs w:val="24"/>
        </w:rPr>
        <w:t>, 632 F.3d 117, 124-25 (4</w:t>
      </w:r>
      <w:r w:rsidRPr="00DD52B8">
        <w:rPr>
          <w:b/>
          <w:sz w:val="24"/>
          <w:szCs w:val="24"/>
          <w:vertAlign w:val="superscript"/>
        </w:rPr>
        <w:t>th</w:t>
      </w:r>
      <w:r>
        <w:rPr>
          <w:b/>
          <w:sz w:val="24"/>
          <w:szCs w:val="24"/>
        </w:rPr>
        <w:t xml:space="preserve"> Cir. 2011):</w:t>
      </w:r>
      <w:r>
        <w:rPr>
          <w:sz w:val="24"/>
          <w:szCs w:val="24"/>
        </w:rPr>
        <w:t xml:space="preserve"> family as cognizable social group</w:t>
      </w:r>
    </w:p>
    <w:p w:rsidR="003A0429" w:rsidRPr="000A0CF8" w:rsidRDefault="003A0429" w:rsidP="005C610B">
      <w:pPr>
        <w:pStyle w:val="ListParagraph"/>
        <w:numPr>
          <w:ilvl w:val="0"/>
          <w:numId w:val="2"/>
        </w:numPr>
        <w:spacing w:after="0"/>
        <w:rPr>
          <w:b/>
          <w:sz w:val="24"/>
          <w:szCs w:val="24"/>
        </w:rPr>
      </w:pPr>
      <w:r>
        <w:rPr>
          <w:b/>
          <w:i/>
          <w:sz w:val="24"/>
          <w:szCs w:val="24"/>
        </w:rPr>
        <w:t>Matter of N-M-</w:t>
      </w:r>
      <w:r>
        <w:rPr>
          <w:b/>
          <w:sz w:val="24"/>
          <w:szCs w:val="24"/>
        </w:rPr>
        <w:t>, 25 I&amp;N Dec. 526, 530 (BIA 2011):</w:t>
      </w:r>
      <w:r>
        <w:rPr>
          <w:sz w:val="24"/>
          <w:szCs w:val="24"/>
        </w:rPr>
        <w:t xml:space="preserve"> if there’s a protected trait, then the applicant must establish that the persecution was on account of that trait (nexus).</w:t>
      </w:r>
    </w:p>
    <w:p w:rsidR="000A0CF8" w:rsidRPr="005F349A" w:rsidRDefault="000A0CF8" w:rsidP="005C610B">
      <w:pPr>
        <w:pStyle w:val="ListParagraph"/>
        <w:numPr>
          <w:ilvl w:val="0"/>
          <w:numId w:val="2"/>
        </w:numPr>
        <w:spacing w:after="0"/>
        <w:rPr>
          <w:b/>
          <w:sz w:val="24"/>
          <w:szCs w:val="24"/>
        </w:rPr>
      </w:pPr>
      <w:r>
        <w:rPr>
          <w:b/>
          <w:i/>
          <w:sz w:val="24"/>
          <w:szCs w:val="24"/>
        </w:rPr>
        <w:t>Mendoza-Alvarez v. Holder</w:t>
      </w:r>
      <w:r>
        <w:rPr>
          <w:b/>
          <w:sz w:val="24"/>
          <w:szCs w:val="24"/>
        </w:rPr>
        <w:t>, 714 F.3d 1161, 1165 (9</w:t>
      </w:r>
      <w:r w:rsidRPr="000A0CF8">
        <w:rPr>
          <w:b/>
          <w:sz w:val="24"/>
          <w:szCs w:val="24"/>
          <w:vertAlign w:val="superscript"/>
        </w:rPr>
        <w:t>th</w:t>
      </w:r>
      <w:r>
        <w:rPr>
          <w:b/>
          <w:sz w:val="24"/>
          <w:szCs w:val="24"/>
        </w:rPr>
        <w:t xml:space="preserve"> Cir. 2013):</w:t>
      </w:r>
      <w:r>
        <w:rPr>
          <w:sz w:val="24"/>
          <w:szCs w:val="24"/>
        </w:rPr>
        <w:t xml:space="preserve"> If harm is suffered and associated with group membership, but the harm is more generalized as well, then there is no causal connection.</w:t>
      </w:r>
    </w:p>
    <w:p w:rsidR="005F349A" w:rsidRPr="005F349A" w:rsidRDefault="005F349A" w:rsidP="005C610B">
      <w:pPr>
        <w:pStyle w:val="ListParagraph"/>
        <w:numPr>
          <w:ilvl w:val="0"/>
          <w:numId w:val="2"/>
        </w:numPr>
        <w:spacing w:after="0"/>
        <w:rPr>
          <w:b/>
          <w:sz w:val="24"/>
          <w:szCs w:val="24"/>
        </w:rPr>
      </w:pPr>
      <w:r>
        <w:rPr>
          <w:b/>
          <w:i/>
          <w:sz w:val="24"/>
          <w:szCs w:val="24"/>
        </w:rPr>
        <w:t>Matter of M-E-V-G-</w:t>
      </w:r>
      <w:r>
        <w:rPr>
          <w:b/>
          <w:sz w:val="24"/>
          <w:szCs w:val="24"/>
        </w:rPr>
        <w:t>, 26 I&amp;N Dec. 227 (BIA 2014):</w:t>
      </w:r>
      <w:r>
        <w:rPr>
          <w:sz w:val="24"/>
          <w:szCs w:val="24"/>
        </w:rPr>
        <w:t xml:space="preserve"> cognizable social groups</w:t>
      </w:r>
    </w:p>
    <w:p w:rsidR="005F349A" w:rsidRPr="005F349A" w:rsidRDefault="005F349A" w:rsidP="005C610B">
      <w:pPr>
        <w:pStyle w:val="ListParagraph"/>
        <w:numPr>
          <w:ilvl w:val="0"/>
          <w:numId w:val="2"/>
        </w:numPr>
        <w:spacing w:after="0"/>
        <w:rPr>
          <w:b/>
          <w:sz w:val="24"/>
          <w:szCs w:val="24"/>
        </w:rPr>
      </w:pPr>
      <w:r>
        <w:rPr>
          <w:b/>
          <w:i/>
          <w:sz w:val="24"/>
          <w:szCs w:val="24"/>
        </w:rPr>
        <w:t>Matter of W-G-R-</w:t>
      </w:r>
      <w:r>
        <w:rPr>
          <w:b/>
          <w:sz w:val="24"/>
          <w:szCs w:val="24"/>
        </w:rPr>
        <w:t>, 26 I&amp;N Dec. 208 (BIA 2014):</w:t>
      </w:r>
      <w:r>
        <w:rPr>
          <w:sz w:val="24"/>
          <w:szCs w:val="24"/>
        </w:rPr>
        <w:t xml:space="preserve"> cognizable social groups</w:t>
      </w:r>
    </w:p>
    <w:p w:rsidR="00DD52B8" w:rsidRPr="00DD52B8" w:rsidRDefault="00DD52B8" w:rsidP="005C610B">
      <w:pPr>
        <w:pStyle w:val="ListParagraph"/>
        <w:numPr>
          <w:ilvl w:val="0"/>
          <w:numId w:val="2"/>
        </w:numPr>
        <w:spacing w:after="0"/>
        <w:rPr>
          <w:b/>
          <w:sz w:val="24"/>
          <w:szCs w:val="24"/>
        </w:rPr>
      </w:pPr>
      <w:r>
        <w:rPr>
          <w:b/>
          <w:i/>
          <w:sz w:val="24"/>
          <w:szCs w:val="24"/>
        </w:rPr>
        <w:t>Rios v. Lynch</w:t>
      </w:r>
      <w:r>
        <w:rPr>
          <w:b/>
          <w:sz w:val="24"/>
          <w:szCs w:val="24"/>
        </w:rPr>
        <w:t>, 807 F.3d 1123, 1128 (9</w:t>
      </w:r>
      <w:r w:rsidRPr="00DD52B8">
        <w:rPr>
          <w:b/>
          <w:sz w:val="24"/>
          <w:szCs w:val="24"/>
          <w:vertAlign w:val="superscript"/>
        </w:rPr>
        <w:t>th</w:t>
      </w:r>
      <w:r>
        <w:rPr>
          <w:b/>
          <w:sz w:val="24"/>
          <w:szCs w:val="24"/>
        </w:rPr>
        <w:t xml:space="preserve"> Cir. 2015):</w:t>
      </w:r>
      <w:r>
        <w:rPr>
          <w:sz w:val="24"/>
          <w:szCs w:val="24"/>
        </w:rPr>
        <w:t xml:space="preserve"> family as cognizable social group</w:t>
      </w:r>
    </w:p>
    <w:p w:rsidR="00DD52B8" w:rsidRPr="00DD52B8" w:rsidRDefault="00DD52B8" w:rsidP="005C610B">
      <w:pPr>
        <w:pStyle w:val="ListParagraph"/>
        <w:numPr>
          <w:ilvl w:val="0"/>
          <w:numId w:val="2"/>
        </w:numPr>
        <w:spacing w:after="0"/>
        <w:rPr>
          <w:b/>
          <w:sz w:val="24"/>
          <w:szCs w:val="24"/>
        </w:rPr>
      </w:pPr>
      <w:r>
        <w:rPr>
          <w:b/>
          <w:i/>
          <w:sz w:val="24"/>
          <w:szCs w:val="24"/>
        </w:rPr>
        <w:t>Ramirez-Mejia v. Lynch</w:t>
      </w:r>
      <w:r>
        <w:rPr>
          <w:sz w:val="24"/>
          <w:szCs w:val="24"/>
        </w:rPr>
        <w:t xml:space="preserve">, </w:t>
      </w:r>
      <w:r>
        <w:rPr>
          <w:b/>
          <w:sz w:val="24"/>
          <w:szCs w:val="24"/>
        </w:rPr>
        <w:t>794 F.3d 485, 492-93 (5</w:t>
      </w:r>
      <w:r w:rsidRPr="00DD52B8">
        <w:rPr>
          <w:b/>
          <w:sz w:val="24"/>
          <w:szCs w:val="24"/>
          <w:vertAlign w:val="superscript"/>
        </w:rPr>
        <w:t>th</w:t>
      </w:r>
      <w:r>
        <w:rPr>
          <w:b/>
          <w:sz w:val="24"/>
          <w:szCs w:val="24"/>
        </w:rPr>
        <w:t xml:space="preserve"> Cir. 2015):</w:t>
      </w:r>
      <w:r>
        <w:rPr>
          <w:sz w:val="24"/>
          <w:szCs w:val="24"/>
        </w:rPr>
        <w:t xml:space="preserve"> family as cognizable social group</w:t>
      </w:r>
    </w:p>
    <w:p w:rsidR="00DD52B8" w:rsidRPr="005C610B" w:rsidRDefault="00DD52B8" w:rsidP="003A0429">
      <w:pPr>
        <w:pStyle w:val="ListParagraph"/>
        <w:spacing w:after="0"/>
        <w:rPr>
          <w:b/>
          <w:sz w:val="24"/>
          <w:szCs w:val="24"/>
        </w:rPr>
      </w:pPr>
    </w:p>
    <w:p w:rsidR="00077658" w:rsidRDefault="00077658" w:rsidP="00E67911">
      <w:pPr>
        <w:spacing w:after="0"/>
        <w:rPr>
          <w:b/>
          <w:sz w:val="24"/>
          <w:szCs w:val="24"/>
        </w:rPr>
      </w:pPr>
      <w:r>
        <w:rPr>
          <w:b/>
          <w:sz w:val="24"/>
          <w:szCs w:val="24"/>
        </w:rPr>
        <w:t>Commentary:</w:t>
      </w:r>
    </w:p>
    <w:p w:rsidR="00DD52B8" w:rsidRPr="00DD52B8" w:rsidRDefault="00DD52B8" w:rsidP="00DD52B8">
      <w:pPr>
        <w:pStyle w:val="ListParagraph"/>
        <w:numPr>
          <w:ilvl w:val="0"/>
          <w:numId w:val="2"/>
        </w:numPr>
        <w:spacing w:after="0"/>
        <w:rPr>
          <w:b/>
          <w:sz w:val="24"/>
          <w:szCs w:val="24"/>
        </w:rPr>
      </w:pPr>
      <w:r>
        <w:rPr>
          <w:b/>
          <w:sz w:val="24"/>
          <w:szCs w:val="24"/>
        </w:rPr>
        <w:t>Cognizable social group:</w:t>
      </w:r>
      <w:r>
        <w:rPr>
          <w:sz w:val="24"/>
          <w:szCs w:val="24"/>
        </w:rPr>
        <w:t xml:space="preserve"> “a fact-based inquiry made on a case-by-case basis, depending on whether the group is immutable and is recognized as particular and socially distinct in the relevant society.” (42)</w:t>
      </w:r>
    </w:p>
    <w:p w:rsidR="00DD52B8" w:rsidRPr="00DD52B8" w:rsidRDefault="00DD52B8" w:rsidP="00DD52B8">
      <w:pPr>
        <w:pStyle w:val="ListParagraph"/>
        <w:spacing w:after="0"/>
        <w:rPr>
          <w:b/>
          <w:sz w:val="24"/>
          <w:szCs w:val="24"/>
        </w:rPr>
      </w:pPr>
    </w:p>
    <w:p w:rsidR="00DD52B8" w:rsidRPr="00DD52B8" w:rsidRDefault="00DD52B8" w:rsidP="00DD52B8">
      <w:pPr>
        <w:pStyle w:val="ListParagraph"/>
        <w:numPr>
          <w:ilvl w:val="0"/>
          <w:numId w:val="2"/>
        </w:numPr>
        <w:spacing w:after="0"/>
        <w:rPr>
          <w:b/>
          <w:sz w:val="24"/>
          <w:szCs w:val="24"/>
        </w:rPr>
      </w:pPr>
      <w:r>
        <w:rPr>
          <w:b/>
          <w:sz w:val="24"/>
          <w:szCs w:val="24"/>
        </w:rPr>
        <w:t>Burden for applicant:</w:t>
      </w:r>
      <w:r>
        <w:rPr>
          <w:sz w:val="24"/>
          <w:szCs w:val="24"/>
        </w:rPr>
        <w:t xml:space="preserve"> “An applicant for asylum has the burden to establish a cognizable particular social group, his membership in that group, and persecution or fear of persecution on account of his membership in that group.” (43)</w:t>
      </w:r>
    </w:p>
    <w:p w:rsidR="00DD52B8" w:rsidRPr="00DD52B8" w:rsidRDefault="00DD52B8" w:rsidP="00DD52B8">
      <w:pPr>
        <w:pStyle w:val="ListParagraph"/>
        <w:rPr>
          <w:b/>
          <w:sz w:val="24"/>
          <w:szCs w:val="24"/>
        </w:rPr>
      </w:pPr>
    </w:p>
    <w:p w:rsidR="00DD52B8" w:rsidRPr="003A0429" w:rsidRDefault="00DD52B8" w:rsidP="00DD52B8">
      <w:pPr>
        <w:pStyle w:val="ListParagraph"/>
        <w:numPr>
          <w:ilvl w:val="0"/>
          <w:numId w:val="2"/>
        </w:numPr>
        <w:spacing w:after="0"/>
        <w:rPr>
          <w:b/>
          <w:sz w:val="24"/>
          <w:szCs w:val="24"/>
        </w:rPr>
      </w:pPr>
      <w:r>
        <w:rPr>
          <w:b/>
          <w:sz w:val="24"/>
          <w:szCs w:val="24"/>
        </w:rPr>
        <w:t>NEXUS:</w:t>
      </w:r>
      <w:r w:rsidR="003A0429">
        <w:rPr>
          <w:sz w:val="24"/>
          <w:szCs w:val="24"/>
        </w:rPr>
        <w:t xml:space="preserve"> “A persecution claim cannot be established if there is no proof that the applicant or other members of the family were targeted because of the family relationship.” (43)</w:t>
      </w:r>
    </w:p>
    <w:p w:rsidR="003A0429" w:rsidRDefault="003A0429" w:rsidP="003A0429">
      <w:pPr>
        <w:pStyle w:val="ListParagraph"/>
        <w:numPr>
          <w:ilvl w:val="1"/>
          <w:numId w:val="2"/>
        </w:numPr>
        <w:spacing w:after="0"/>
        <w:rPr>
          <w:sz w:val="24"/>
          <w:szCs w:val="24"/>
        </w:rPr>
      </w:pPr>
      <w:r w:rsidRPr="003A0429">
        <w:rPr>
          <w:sz w:val="24"/>
          <w:szCs w:val="24"/>
        </w:rPr>
        <w:t>“</w:t>
      </w:r>
      <w:r>
        <w:rPr>
          <w:sz w:val="24"/>
          <w:szCs w:val="24"/>
        </w:rPr>
        <w:t>If</w:t>
      </w:r>
      <w:r w:rsidRPr="003A0429">
        <w:rPr>
          <w:sz w:val="24"/>
          <w:szCs w:val="24"/>
        </w:rPr>
        <w:t xml:space="preserve"> the persecutor would have treated the applicant the same if the protected</w:t>
      </w:r>
      <w:r>
        <w:rPr>
          <w:sz w:val="24"/>
          <w:szCs w:val="24"/>
        </w:rPr>
        <w:t xml:space="preserve"> characteristic of the family did not exist, then the applicant has not established a claim on this ground.” (43-44)</w:t>
      </w:r>
    </w:p>
    <w:p w:rsidR="000A0CF8" w:rsidRDefault="000A0CF8" w:rsidP="000A0CF8">
      <w:pPr>
        <w:pStyle w:val="ListParagraph"/>
        <w:spacing w:after="0"/>
        <w:ind w:left="1440"/>
        <w:rPr>
          <w:sz w:val="24"/>
          <w:szCs w:val="24"/>
        </w:rPr>
      </w:pPr>
    </w:p>
    <w:p w:rsidR="000A0CF8" w:rsidRPr="003A0429" w:rsidRDefault="000A0CF8" w:rsidP="000A0CF8">
      <w:pPr>
        <w:pStyle w:val="ListParagraph"/>
        <w:numPr>
          <w:ilvl w:val="0"/>
          <w:numId w:val="2"/>
        </w:numPr>
        <w:spacing w:after="0"/>
        <w:rPr>
          <w:sz w:val="24"/>
          <w:szCs w:val="24"/>
        </w:rPr>
      </w:pPr>
      <w:r w:rsidRPr="000A0CF8">
        <w:rPr>
          <w:b/>
          <w:sz w:val="24"/>
          <w:szCs w:val="24"/>
        </w:rPr>
        <w:t>Proving persecutor’s motive:</w:t>
      </w:r>
      <w:r>
        <w:rPr>
          <w:sz w:val="24"/>
          <w:szCs w:val="24"/>
        </w:rPr>
        <w:t xml:space="preserve"> IJ considers direct and circumstantial evidence, may make reasonable inferences. “While some scenarios will present a clear answer, others will require a more nuanced evaluation.” (44) (animus toward family? Political motive? Can’t just be the basic fact of injury or threats—has to be </w:t>
      </w:r>
      <w:r>
        <w:rPr>
          <w:i/>
          <w:sz w:val="24"/>
          <w:szCs w:val="24"/>
        </w:rPr>
        <w:t>because of</w:t>
      </w:r>
      <w:r>
        <w:rPr>
          <w:sz w:val="24"/>
          <w:szCs w:val="24"/>
        </w:rPr>
        <w:t xml:space="preserve"> family.)</w:t>
      </w:r>
    </w:p>
    <w:sectPr w:rsidR="000A0CF8" w:rsidRPr="003A0429" w:rsidSect="00CE41B9">
      <w:head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E41BF" w:rsidRDefault="00FE41BF" w:rsidP="00077658">
      <w:pPr>
        <w:spacing w:after="0" w:line="240" w:lineRule="auto"/>
      </w:pPr>
      <w:r>
        <w:separator/>
      </w:r>
    </w:p>
  </w:endnote>
  <w:endnote w:type="continuationSeparator" w:id="0">
    <w:p w:rsidR="00FE41BF" w:rsidRDefault="00FE41BF" w:rsidP="0007765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E41BF" w:rsidRDefault="00FE41BF" w:rsidP="00077658">
      <w:pPr>
        <w:spacing w:after="0" w:line="240" w:lineRule="auto"/>
      </w:pPr>
      <w:r>
        <w:separator/>
      </w:r>
    </w:p>
  </w:footnote>
  <w:footnote w:type="continuationSeparator" w:id="0">
    <w:p w:rsidR="00FE41BF" w:rsidRDefault="00FE41BF" w:rsidP="0007765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7658" w:rsidRDefault="005C610B">
    <w:pPr>
      <w:pStyle w:val="Header"/>
    </w:pPr>
    <w:r>
      <w:t>BIA</w:t>
    </w:r>
    <w:r w:rsidR="00077658">
      <w:ptab w:relativeTo="margin" w:alignment="center" w:leader="none"/>
    </w:r>
    <w:r>
      <w:t>2017</w:t>
    </w:r>
    <w:r w:rsidR="00077658">
      <w:ptab w:relativeTo="margin" w:alignment="right" w:leader="none"/>
    </w:r>
    <w:r>
      <w:t>Matter of L-E-A-</w:t>
    </w:r>
  </w:p>
  <w:p w:rsidR="00077658" w:rsidRDefault="000A0CF8" w:rsidP="00077658">
    <w:pPr>
      <w:pStyle w:val="Header"/>
      <w:jc w:val="right"/>
    </w:pPr>
    <w:r>
      <w:t>FAMILY AS SOCIAL GROUP</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5C1E7F"/>
    <w:multiLevelType w:val="hybridMultilevel"/>
    <w:tmpl w:val="EA9AA954"/>
    <w:lvl w:ilvl="0" w:tplc="AE28C916">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B8C5C8E"/>
    <w:multiLevelType w:val="hybridMultilevel"/>
    <w:tmpl w:val="89F06704"/>
    <w:lvl w:ilvl="0" w:tplc="081EA8E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7485971"/>
    <w:multiLevelType w:val="hybridMultilevel"/>
    <w:tmpl w:val="6F64F07C"/>
    <w:lvl w:ilvl="0" w:tplc="82CAFB3A">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077658"/>
    <w:rsid w:val="00077658"/>
    <w:rsid w:val="000A0CF8"/>
    <w:rsid w:val="003A0429"/>
    <w:rsid w:val="005C610B"/>
    <w:rsid w:val="005F349A"/>
    <w:rsid w:val="008A3CC9"/>
    <w:rsid w:val="00A142C3"/>
    <w:rsid w:val="00AB0EE1"/>
    <w:rsid w:val="00B13A5E"/>
    <w:rsid w:val="00CE41B9"/>
    <w:rsid w:val="00DD52B8"/>
    <w:rsid w:val="00E409D3"/>
    <w:rsid w:val="00E67911"/>
    <w:rsid w:val="00FE41B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41B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07765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77658"/>
  </w:style>
  <w:style w:type="paragraph" w:styleId="Footer">
    <w:name w:val="footer"/>
    <w:basedOn w:val="Normal"/>
    <w:link w:val="FooterChar"/>
    <w:uiPriority w:val="99"/>
    <w:semiHidden/>
    <w:unhideWhenUsed/>
    <w:rsid w:val="0007765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077658"/>
  </w:style>
  <w:style w:type="paragraph" w:styleId="BalloonText">
    <w:name w:val="Balloon Text"/>
    <w:basedOn w:val="Normal"/>
    <w:link w:val="BalloonTextChar"/>
    <w:uiPriority w:val="99"/>
    <w:semiHidden/>
    <w:unhideWhenUsed/>
    <w:rsid w:val="000776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7658"/>
    <w:rPr>
      <w:rFonts w:ascii="Tahoma" w:hAnsi="Tahoma" w:cs="Tahoma"/>
      <w:sz w:val="16"/>
      <w:szCs w:val="16"/>
    </w:rPr>
  </w:style>
  <w:style w:type="paragraph" w:styleId="ListParagraph">
    <w:name w:val="List Paragraph"/>
    <w:basedOn w:val="Normal"/>
    <w:uiPriority w:val="34"/>
    <w:qFormat/>
    <w:rsid w:val="005C610B"/>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630</Words>
  <Characters>3592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4214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2</cp:revision>
  <dcterms:created xsi:type="dcterms:W3CDTF">2018-12-24T16:26:00Z</dcterms:created>
  <dcterms:modified xsi:type="dcterms:W3CDTF">2018-12-24T16:26:00Z</dcterms:modified>
</cp:coreProperties>
</file>