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731294" w:rsidP="00E16E68">
      <w:pPr>
        <w:jc w:val="center"/>
        <w:rPr>
          <w:b/>
          <w:sz w:val="24"/>
          <w:szCs w:val="24"/>
        </w:rPr>
      </w:pPr>
      <w:r>
        <w:rPr>
          <w:b/>
          <w:sz w:val="24"/>
          <w:szCs w:val="24"/>
        </w:rPr>
        <w:t>Federal District</w:t>
      </w:r>
      <w:r w:rsidR="0016476D">
        <w:rPr>
          <w:b/>
          <w:sz w:val="24"/>
          <w:szCs w:val="24"/>
        </w:rPr>
        <w:t xml:space="preserve"> Court</w:t>
      </w:r>
      <w:r>
        <w:rPr>
          <w:b/>
          <w:sz w:val="24"/>
          <w:szCs w:val="24"/>
        </w:rPr>
        <w:t>:</w:t>
      </w:r>
      <w:r w:rsidR="00032639">
        <w:rPr>
          <w:b/>
          <w:sz w:val="24"/>
          <w:szCs w:val="24"/>
        </w:rPr>
        <w:t xml:space="preserve"> DC</w:t>
      </w:r>
    </w:p>
    <w:p w:rsidR="00E16E68" w:rsidRPr="000933B7" w:rsidRDefault="00E16E68" w:rsidP="00E16E68">
      <w:pPr>
        <w:rPr>
          <w:sz w:val="24"/>
          <w:szCs w:val="24"/>
        </w:rPr>
      </w:pPr>
      <w:r>
        <w:rPr>
          <w:b/>
          <w:sz w:val="24"/>
          <w:szCs w:val="24"/>
        </w:rPr>
        <w:t>Case:</w:t>
      </w:r>
      <w:r w:rsidR="000933B7">
        <w:rPr>
          <w:sz w:val="24"/>
          <w:szCs w:val="24"/>
        </w:rPr>
        <w:t xml:space="preserve"> </w:t>
      </w:r>
      <w:r w:rsidR="009F6A2F">
        <w:rPr>
          <w:sz w:val="24"/>
          <w:szCs w:val="24"/>
        </w:rPr>
        <w:t xml:space="preserve">Grace, et al. v. Matthew G. Whitaker </w:t>
      </w:r>
      <w:r w:rsidR="001C360D">
        <w:rPr>
          <w:sz w:val="24"/>
          <w:szCs w:val="24"/>
        </w:rPr>
        <w:t>[1:18-cv-01853-EGS]</w:t>
      </w:r>
    </w:p>
    <w:p w:rsidR="00E16E68" w:rsidRPr="000933B7" w:rsidRDefault="00E16E68" w:rsidP="00E16E68">
      <w:pPr>
        <w:rPr>
          <w:sz w:val="24"/>
          <w:szCs w:val="24"/>
        </w:rPr>
      </w:pPr>
      <w:r>
        <w:rPr>
          <w:b/>
          <w:sz w:val="24"/>
          <w:szCs w:val="24"/>
        </w:rPr>
        <w:t>Judge:</w:t>
      </w:r>
      <w:r>
        <w:rPr>
          <w:b/>
          <w:sz w:val="24"/>
          <w:szCs w:val="24"/>
        </w:rPr>
        <w:tab/>
      </w:r>
      <w:r w:rsidR="009F6A2F">
        <w:rPr>
          <w:sz w:val="24"/>
          <w:szCs w:val="24"/>
        </w:rPr>
        <w:t>Emmet G. Sullivan, District Judge</w:t>
      </w:r>
      <w:r>
        <w:rPr>
          <w:b/>
          <w:sz w:val="24"/>
          <w:szCs w:val="24"/>
        </w:rPr>
        <w:tab/>
      </w:r>
      <w:r>
        <w:rPr>
          <w:b/>
          <w:sz w:val="24"/>
          <w:szCs w:val="24"/>
        </w:rPr>
        <w:tab/>
      </w:r>
      <w:r>
        <w:rPr>
          <w:b/>
          <w:sz w:val="24"/>
          <w:szCs w:val="24"/>
        </w:rPr>
        <w:tab/>
        <w:t>Date:</w:t>
      </w:r>
      <w:r w:rsidR="000933B7">
        <w:rPr>
          <w:sz w:val="24"/>
          <w:szCs w:val="24"/>
        </w:rPr>
        <w:t xml:space="preserve"> </w:t>
      </w:r>
      <w:r w:rsidR="009F6A2F">
        <w:rPr>
          <w:sz w:val="24"/>
          <w:szCs w:val="24"/>
        </w:rPr>
        <w:t>December 17, 2018</w:t>
      </w:r>
    </w:p>
    <w:p w:rsidR="00E16E68" w:rsidRPr="000933B7" w:rsidRDefault="00E16E68" w:rsidP="00E16E68">
      <w:pPr>
        <w:rPr>
          <w:sz w:val="24"/>
          <w:szCs w:val="24"/>
        </w:rPr>
      </w:pPr>
      <w:r>
        <w:rPr>
          <w:b/>
          <w:sz w:val="24"/>
          <w:szCs w:val="24"/>
        </w:rPr>
        <w:t>Tags:</w:t>
      </w:r>
      <w:r w:rsidR="000933B7">
        <w:rPr>
          <w:sz w:val="24"/>
          <w:szCs w:val="24"/>
        </w:rPr>
        <w:t xml:space="preserve"> </w:t>
      </w:r>
      <w:r w:rsidR="009F6A2F">
        <w:rPr>
          <w:sz w:val="24"/>
          <w:szCs w:val="24"/>
        </w:rPr>
        <w:t>Refugee Act, DV Asylum,</w:t>
      </w:r>
    </w:p>
    <w:p w:rsidR="0010547E" w:rsidRPr="00602342" w:rsidRDefault="00E16E68" w:rsidP="0015215A">
      <w:pPr>
        <w:spacing w:after="0"/>
        <w:rPr>
          <w:sz w:val="24"/>
          <w:szCs w:val="24"/>
        </w:rPr>
      </w:pPr>
      <w:r>
        <w:rPr>
          <w:b/>
          <w:sz w:val="24"/>
          <w:szCs w:val="24"/>
        </w:rPr>
        <w:t>Gravamen/Question(s) at issue:</w:t>
      </w:r>
      <w:r w:rsidR="000933B7">
        <w:rPr>
          <w:sz w:val="24"/>
          <w:szCs w:val="24"/>
        </w:rPr>
        <w:t xml:space="preserve"> </w:t>
      </w:r>
      <w:r w:rsidR="00602342">
        <w:rPr>
          <w:sz w:val="24"/>
          <w:szCs w:val="24"/>
        </w:rPr>
        <w:t xml:space="preserve">Did </w:t>
      </w:r>
      <w:r w:rsidR="00602342">
        <w:rPr>
          <w:i/>
          <w:sz w:val="24"/>
          <w:szCs w:val="24"/>
        </w:rPr>
        <w:t>Matter of A-B-</w:t>
      </w:r>
      <w:r w:rsidR="00602342">
        <w:rPr>
          <w:sz w:val="24"/>
          <w:szCs w:val="24"/>
        </w:rPr>
        <w:t xml:space="preserve"> &amp; DHS’s policy memorandum “unlawfully and arbitrarily impose a heightened standard to [DHS’s] credible fear determinations”? (3</w:t>
      </w:r>
      <w:r w:rsidR="00602342">
        <w:rPr>
          <w:rStyle w:val="FootnoteReference"/>
          <w:sz w:val="24"/>
          <w:szCs w:val="24"/>
        </w:rPr>
        <w:footnoteReference w:id="1"/>
      </w:r>
      <w:r w:rsidR="00602342">
        <w:rPr>
          <w:sz w:val="24"/>
          <w:szCs w:val="24"/>
        </w:rPr>
        <w:t>)</w:t>
      </w:r>
    </w:p>
    <w:p w:rsidR="0015215A" w:rsidRPr="0010547E" w:rsidRDefault="0015215A" w:rsidP="0015215A">
      <w:pPr>
        <w:spacing w:after="0"/>
        <w:rPr>
          <w:sz w:val="24"/>
          <w:szCs w:val="24"/>
        </w:rPr>
      </w:pPr>
    </w:p>
    <w:p w:rsidR="008B718E" w:rsidRDefault="00E16E68" w:rsidP="008B718E">
      <w:pPr>
        <w:spacing w:after="0"/>
        <w:rPr>
          <w:sz w:val="24"/>
          <w:szCs w:val="24"/>
        </w:rPr>
      </w:pPr>
      <w:r>
        <w:rPr>
          <w:b/>
          <w:sz w:val="24"/>
          <w:szCs w:val="24"/>
        </w:rPr>
        <w:t>Holdings:</w:t>
      </w:r>
      <w:r w:rsidR="000933B7">
        <w:rPr>
          <w:sz w:val="24"/>
          <w:szCs w:val="24"/>
        </w:rPr>
        <w:t xml:space="preserve"> </w:t>
      </w:r>
      <w:r w:rsidR="00602342">
        <w:rPr>
          <w:sz w:val="24"/>
          <w:szCs w:val="24"/>
        </w:rPr>
        <w:t xml:space="preserve">“…the Court finds that several of the new credible fear policies, as articulated in </w:t>
      </w:r>
      <w:r w:rsidR="00602342">
        <w:rPr>
          <w:i/>
          <w:sz w:val="24"/>
          <w:szCs w:val="24"/>
        </w:rPr>
        <w:t>Matter of A-B-</w:t>
      </w:r>
      <w:r w:rsidR="00602342">
        <w:rPr>
          <w:sz w:val="24"/>
          <w:szCs w:val="24"/>
        </w:rPr>
        <w:t xml:space="preserve"> and the Policy Memorandum, violate both the APA and INA.” (3) </w:t>
      </w:r>
    </w:p>
    <w:p w:rsidR="0015215A" w:rsidRDefault="00602342" w:rsidP="008B718E">
      <w:pPr>
        <w:pStyle w:val="ListParagraph"/>
        <w:numPr>
          <w:ilvl w:val="0"/>
          <w:numId w:val="6"/>
        </w:numPr>
        <w:spacing w:after="0"/>
        <w:rPr>
          <w:sz w:val="24"/>
          <w:szCs w:val="24"/>
        </w:rPr>
      </w:pPr>
      <w:r w:rsidRPr="008B718E">
        <w:rPr>
          <w:sz w:val="24"/>
          <w:szCs w:val="24"/>
        </w:rPr>
        <w:t>Unlawful policies vacated.</w:t>
      </w:r>
    </w:p>
    <w:p w:rsidR="008B718E" w:rsidRDefault="008B718E" w:rsidP="008B718E">
      <w:pPr>
        <w:pStyle w:val="ListParagraph"/>
        <w:numPr>
          <w:ilvl w:val="0"/>
          <w:numId w:val="6"/>
        </w:numPr>
        <w:spacing w:after="0"/>
        <w:rPr>
          <w:sz w:val="24"/>
          <w:szCs w:val="24"/>
        </w:rPr>
      </w:pPr>
      <w:r>
        <w:rPr>
          <w:sz w:val="24"/>
          <w:szCs w:val="24"/>
        </w:rPr>
        <w:t>“The Court further permanently enjoins the government from continuing to apply those policies and from removing plaintiffs who are currently in the U.S. without first providing credible fear determinations consistent with the immigration laws.” (4)</w:t>
      </w:r>
    </w:p>
    <w:p w:rsidR="003807E0" w:rsidRDefault="003807E0" w:rsidP="003807E0">
      <w:pPr>
        <w:spacing w:after="0"/>
        <w:rPr>
          <w:sz w:val="24"/>
          <w:szCs w:val="24"/>
        </w:rPr>
      </w:pPr>
    </w:p>
    <w:p w:rsidR="003807E0" w:rsidRPr="003807E0" w:rsidRDefault="003807E0" w:rsidP="003807E0">
      <w:pPr>
        <w:spacing w:after="0"/>
        <w:rPr>
          <w:sz w:val="24"/>
          <w:szCs w:val="24"/>
        </w:rPr>
      </w:pPr>
      <w:r>
        <w:rPr>
          <w:b/>
          <w:sz w:val="24"/>
          <w:szCs w:val="24"/>
        </w:rPr>
        <w:t>Relief granted:</w:t>
      </w:r>
      <w:r>
        <w:rPr>
          <w:sz w:val="24"/>
          <w:szCs w:val="24"/>
        </w:rPr>
        <w:t xml:space="preserve"> Permanent injunction against applying new credible fear policies; return of plaintiffs from deportation so that they can have new &amp; lawful credible fear proceedings. </w:t>
      </w:r>
      <w:proofErr w:type="gramStart"/>
      <w:r>
        <w:rPr>
          <w:sz w:val="24"/>
          <w:szCs w:val="24"/>
        </w:rPr>
        <w:t>(Discussion pp.93ff.)</w:t>
      </w:r>
      <w:proofErr w:type="gramEnd"/>
    </w:p>
    <w:p w:rsidR="008B718E" w:rsidRPr="008B718E" w:rsidRDefault="008B718E" w:rsidP="008B718E">
      <w:pPr>
        <w:spacing w:after="0"/>
        <w:rPr>
          <w:sz w:val="24"/>
          <w:szCs w:val="24"/>
        </w:rPr>
      </w:pPr>
    </w:p>
    <w:p w:rsidR="00FA447D" w:rsidRDefault="00E16E68" w:rsidP="00FA447D">
      <w:pPr>
        <w:spacing w:after="0"/>
        <w:rPr>
          <w:sz w:val="24"/>
          <w:szCs w:val="24"/>
        </w:rPr>
      </w:pPr>
      <w:r>
        <w:rPr>
          <w:b/>
          <w:sz w:val="24"/>
          <w:szCs w:val="24"/>
        </w:rPr>
        <w:t>Rationale:</w:t>
      </w:r>
      <w:r w:rsidR="0010547E">
        <w:rPr>
          <w:sz w:val="24"/>
          <w:szCs w:val="24"/>
        </w:rPr>
        <w:t xml:space="preserve"> </w:t>
      </w:r>
      <w:r w:rsidR="00602342">
        <w:rPr>
          <w:sz w:val="24"/>
          <w:szCs w:val="24"/>
        </w:rPr>
        <w:t>These policies are “inconsistent with the intent of Congress as articulated in the INA.”</w:t>
      </w:r>
    </w:p>
    <w:p w:rsidR="00FA447D" w:rsidRPr="00FA447D" w:rsidRDefault="00FA447D" w:rsidP="00E66354">
      <w:pPr>
        <w:pStyle w:val="ListParagraph"/>
        <w:spacing w:after="0"/>
        <w:rPr>
          <w:sz w:val="24"/>
          <w:szCs w:val="24"/>
        </w:rPr>
      </w:pPr>
    </w:p>
    <w:p w:rsidR="009F6A2F" w:rsidRPr="000322B9" w:rsidRDefault="009F6A2F" w:rsidP="009F6A2F">
      <w:pPr>
        <w:rPr>
          <w:sz w:val="24"/>
          <w:szCs w:val="24"/>
        </w:rPr>
      </w:pPr>
      <w:r>
        <w:rPr>
          <w:b/>
          <w:sz w:val="24"/>
          <w:szCs w:val="24"/>
        </w:rPr>
        <w:t>Facts:</w:t>
      </w:r>
      <w:r>
        <w:rPr>
          <w:sz w:val="24"/>
          <w:szCs w:val="24"/>
        </w:rPr>
        <w:t xml:space="preserve"> Plaintiffs (adults &amp; children) claim sexual abuse, kidnappings, and beatings in home countries. </w:t>
      </w:r>
      <w:r w:rsidR="000322B9">
        <w:rPr>
          <w:sz w:val="24"/>
          <w:szCs w:val="24"/>
        </w:rPr>
        <w:t xml:space="preserve">Each was given a credible fear determination, but despite credible testimony their claim to asylum was denied based on </w:t>
      </w:r>
      <w:r w:rsidR="000322B9">
        <w:rPr>
          <w:i/>
          <w:sz w:val="24"/>
          <w:szCs w:val="24"/>
        </w:rPr>
        <w:t>Matter of A-B-</w:t>
      </w:r>
      <w:r w:rsidR="000322B9">
        <w:rPr>
          <w:sz w:val="24"/>
          <w:szCs w:val="24"/>
        </w:rPr>
        <w:t>.</w:t>
      </w:r>
    </w:p>
    <w:p w:rsidR="00E16E68" w:rsidRPr="00A63F47" w:rsidRDefault="00E66354" w:rsidP="0010547E">
      <w:pPr>
        <w:spacing w:after="0"/>
        <w:rPr>
          <w:sz w:val="24"/>
          <w:szCs w:val="24"/>
        </w:rPr>
      </w:pPr>
      <w:r>
        <w:rPr>
          <w:b/>
          <w:sz w:val="24"/>
          <w:szCs w:val="24"/>
        </w:rPr>
        <w:t xml:space="preserve">Discussion of </w:t>
      </w:r>
      <w:r>
        <w:rPr>
          <w:b/>
          <w:i/>
          <w:sz w:val="24"/>
          <w:szCs w:val="24"/>
        </w:rPr>
        <w:t>Matter of A-B-</w:t>
      </w:r>
      <w:r w:rsidR="00484CDA">
        <w:rPr>
          <w:b/>
          <w:sz w:val="24"/>
          <w:szCs w:val="24"/>
        </w:rPr>
        <w:t xml:space="preserve"> &amp; Policy Memorandum</w:t>
      </w:r>
      <w:r w:rsidR="00A63F47">
        <w:rPr>
          <w:b/>
          <w:sz w:val="24"/>
          <w:szCs w:val="24"/>
        </w:rPr>
        <w:t xml:space="preserve"> </w:t>
      </w:r>
      <w:r w:rsidR="00A63F47">
        <w:rPr>
          <w:sz w:val="24"/>
          <w:szCs w:val="24"/>
        </w:rPr>
        <w:t>(plaintiffs’ arguments &amp; Court’s response):</w:t>
      </w:r>
    </w:p>
    <w:p w:rsidR="006A18CC" w:rsidRDefault="00A63F47" w:rsidP="00A63F47">
      <w:pPr>
        <w:pStyle w:val="ListParagraph"/>
        <w:numPr>
          <w:ilvl w:val="0"/>
          <w:numId w:val="7"/>
        </w:numPr>
        <w:spacing w:after="0"/>
        <w:rPr>
          <w:sz w:val="24"/>
          <w:szCs w:val="24"/>
        </w:rPr>
      </w:pPr>
      <w:r>
        <w:rPr>
          <w:b/>
          <w:sz w:val="24"/>
          <w:szCs w:val="24"/>
        </w:rPr>
        <w:t xml:space="preserve">Plaintiff: </w:t>
      </w:r>
      <w:r w:rsidRPr="006B0D64">
        <w:rPr>
          <w:i/>
          <w:sz w:val="24"/>
          <w:szCs w:val="24"/>
        </w:rPr>
        <w:t>The general rule foreclosing DV and gang-related claims violates the APA &amp; INA.</w:t>
      </w:r>
    </w:p>
    <w:p w:rsidR="00A63F47" w:rsidRDefault="00A63F47" w:rsidP="00A63F47">
      <w:pPr>
        <w:pStyle w:val="ListParagraph"/>
        <w:spacing w:after="0"/>
        <w:ind w:left="1080"/>
        <w:rPr>
          <w:sz w:val="24"/>
          <w:szCs w:val="24"/>
        </w:rPr>
      </w:pPr>
      <w:r>
        <w:rPr>
          <w:b/>
          <w:sz w:val="24"/>
          <w:szCs w:val="24"/>
        </w:rPr>
        <w:t>Court:</w:t>
      </w:r>
      <w:r>
        <w:rPr>
          <w:sz w:val="24"/>
          <w:szCs w:val="24"/>
        </w:rPr>
        <w:t xml:space="preserve"> “to the extent </w:t>
      </w:r>
      <w:r>
        <w:rPr>
          <w:i/>
          <w:sz w:val="24"/>
          <w:szCs w:val="24"/>
        </w:rPr>
        <w:t>Matter of A-B-</w:t>
      </w:r>
      <w:r>
        <w:rPr>
          <w:sz w:val="24"/>
          <w:szCs w:val="24"/>
        </w:rPr>
        <w:t xml:space="preserve"> was interpreting the [PSG] requirement in the INA, the </w:t>
      </w:r>
      <w:r>
        <w:rPr>
          <w:i/>
          <w:sz w:val="24"/>
          <w:szCs w:val="24"/>
        </w:rPr>
        <w:t>Chevron</w:t>
      </w:r>
      <w:r>
        <w:rPr>
          <w:sz w:val="24"/>
          <w:szCs w:val="24"/>
        </w:rPr>
        <w:t xml:space="preserve"> framework clearly applies.” (47)</w:t>
      </w:r>
    </w:p>
    <w:p w:rsidR="00A63F47" w:rsidRDefault="00A63F47" w:rsidP="00A63F47">
      <w:pPr>
        <w:pStyle w:val="ListParagraph"/>
        <w:numPr>
          <w:ilvl w:val="2"/>
          <w:numId w:val="5"/>
        </w:numPr>
        <w:spacing w:after="0"/>
        <w:rPr>
          <w:sz w:val="24"/>
          <w:szCs w:val="24"/>
        </w:rPr>
      </w:pPr>
      <w:r>
        <w:rPr>
          <w:sz w:val="24"/>
          <w:szCs w:val="24"/>
        </w:rPr>
        <w:t>INA doesn’t shed much light on meaning of “PSG.”</w:t>
      </w:r>
    </w:p>
    <w:p w:rsidR="006B0D64" w:rsidRDefault="006B0D64" w:rsidP="00A63F47">
      <w:pPr>
        <w:pStyle w:val="ListParagraph"/>
        <w:numPr>
          <w:ilvl w:val="2"/>
          <w:numId w:val="5"/>
        </w:numPr>
        <w:spacing w:after="0"/>
        <w:rPr>
          <w:sz w:val="24"/>
          <w:szCs w:val="24"/>
        </w:rPr>
      </w:pPr>
      <w:r>
        <w:rPr>
          <w:sz w:val="24"/>
          <w:szCs w:val="24"/>
        </w:rPr>
        <w:t>UNHCR handbook helps: people with similar background, habits, or social status. (Probably congressional intent, since “refugee” was taken straight from same document.)</w:t>
      </w:r>
    </w:p>
    <w:p w:rsidR="006B0D64" w:rsidRDefault="006B0D64" w:rsidP="00A63F47">
      <w:pPr>
        <w:pStyle w:val="ListParagraph"/>
        <w:numPr>
          <w:ilvl w:val="2"/>
          <w:numId w:val="5"/>
        </w:numPr>
        <w:spacing w:after="0"/>
        <w:rPr>
          <w:sz w:val="24"/>
          <w:szCs w:val="24"/>
        </w:rPr>
      </w:pPr>
      <w:r>
        <w:rPr>
          <w:sz w:val="24"/>
          <w:szCs w:val="24"/>
        </w:rPr>
        <w:t xml:space="preserve">Court thinks Congress hasn’t spoken directly about whether DV or gang victims qualify as PSG members. So </w:t>
      </w:r>
      <w:r>
        <w:rPr>
          <w:i/>
          <w:sz w:val="24"/>
          <w:szCs w:val="24"/>
        </w:rPr>
        <w:t xml:space="preserve">Chevron </w:t>
      </w:r>
      <w:r>
        <w:rPr>
          <w:sz w:val="24"/>
          <w:szCs w:val="24"/>
        </w:rPr>
        <w:t>step two applies: review of agency interpretation.</w:t>
      </w:r>
    </w:p>
    <w:p w:rsidR="006B0D64" w:rsidRDefault="006B0D64" w:rsidP="00A63F47">
      <w:pPr>
        <w:pStyle w:val="ListParagraph"/>
        <w:numPr>
          <w:ilvl w:val="2"/>
          <w:numId w:val="5"/>
        </w:numPr>
        <w:spacing w:after="0"/>
        <w:rPr>
          <w:sz w:val="24"/>
          <w:szCs w:val="24"/>
        </w:rPr>
      </w:pPr>
      <w:r>
        <w:rPr>
          <w:sz w:val="24"/>
          <w:szCs w:val="24"/>
        </w:rPr>
        <w:t xml:space="preserve">Agency was arbitrary and capricious in precluding DV and gang-related claims at the credible fear stage. (Explanation lacked coherence and is inconsistent with immigration </w:t>
      </w:r>
      <w:r>
        <w:rPr>
          <w:sz w:val="24"/>
          <w:szCs w:val="24"/>
        </w:rPr>
        <w:lastRenderedPageBreak/>
        <w:t>case law, and “credible fear determination must be individualized based on the facts of each case.” (54))</w:t>
      </w:r>
    </w:p>
    <w:p w:rsidR="00B80826" w:rsidRDefault="00B80826" w:rsidP="00A63F47">
      <w:pPr>
        <w:pStyle w:val="ListParagraph"/>
        <w:numPr>
          <w:ilvl w:val="2"/>
          <w:numId w:val="5"/>
        </w:numPr>
        <w:spacing w:after="0"/>
        <w:rPr>
          <w:sz w:val="24"/>
          <w:szCs w:val="24"/>
        </w:rPr>
      </w:pPr>
      <w:r>
        <w:rPr>
          <w:sz w:val="24"/>
          <w:szCs w:val="24"/>
        </w:rPr>
        <w:t xml:space="preserve">“Not only does </w:t>
      </w:r>
      <w:r>
        <w:rPr>
          <w:i/>
          <w:sz w:val="24"/>
          <w:szCs w:val="24"/>
        </w:rPr>
        <w:t>Matter of A-B-</w:t>
      </w:r>
      <w:r>
        <w:rPr>
          <w:sz w:val="24"/>
          <w:szCs w:val="24"/>
        </w:rPr>
        <w:t xml:space="preserve"> create a general rule against such claims at the credible fear stage, but the general rule is also not a permissible interpretation of the statute.” (56) (“effective categorical ban” on DV/gang-related claims)</w:t>
      </w:r>
    </w:p>
    <w:p w:rsidR="00B80826" w:rsidRDefault="00B80826" w:rsidP="00A63F47">
      <w:pPr>
        <w:pStyle w:val="ListParagraph"/>
        <w:numPr>
          <w:ilvl w:val="2"/>
          <w:numId w:val="5"/>
        </w:numPr>
        <w:spacing w:after="0"/>
        <w:rPr>
          <w:sz w:val="24"/>
          <w:szCs w:val="24"/>
        </w:rPr>
      </w:pPr>
      <w:r>
        <w:rPr>
          <w:sz w:val="24"/>
          <w:szCs w:val="24"/>
        </w:rPr>
        <w:t>Impermissible heightening of standard at credible fear stage.</w:t>
      </w:r>
    </w:p>
    <w:p w:rsidR="00B80826" w:rsidRDefault="00B80826" w:rsidP="00B80826">
      <w:pPr>
        <w:pStyle w:val="ListParagraph"/>
        <w:numPr>
          <w:ilvl w:val="0"/>
          <w:numId w:val="7"/>
        </w:numPr>
        <w:spacing w:after="0"/>
        <w:rPr>
          <w:sz w:val="24"/>
          <w:szCs w:val="24"/>
        </w:rPr>
      </w:pPr>
      <w:r>
        <w:rPr>
          <w:b/>
          <w:sz w:val="24"/>
          <w:szCs w:val="24"/>
        </w:rPr>
        <w:t>Plaintiff:</w:t>
      </w:r>
      <w:r>
        <w:rPr>
          <w:sz w:val="24"/>
          <w:szCs w:val="24"/>
        </w:rPr>
        <w:t xml:space="preserve"> </w:t>
      </w:r>
      <w:r w:rsidR="000C4CE3">
        <w:rPr>
          <w:i/>
          <w:sz w:val="24"/>
          <w:szCs w:val="24"/>
        </w:rPr>
        <w:t>“Condoned or complete Helplessness” standard violates APA &amp; INA.</w:t>
      </w:r>
    </w:p>
    <w:p w:rsidR="000C4CE3" w:rsidRDefault="000C4CE3" w:rsidP="000C4CE3">
      <w:pPr>
        <w:pStyle w:val="ListParagraph"/>
        <w:spacing w:after="0"/>
        <w:ind w:left="1080"/>
        <w:rPr>
          <w:sz w:val="24"/>
          <w:szCs w:val="24"/>
        </w:rPr>
      </w:pPr>
      <w:r>
        <w:rPr>
          <w:b/>
          <w:sz w:val="24"/>
          <w:szCs w:val="24"/>
        </w:rPr>
        <w:t xml:space="preserve">Court: </w:t>
      </w:r>
      <w:r>
        <w:rPr>
          <w:sz w:val="24"/>
          <w:szCs w:val="24"/>
        </w:rPr>
        <w:t>plaintiff must establish “some connection” between non-</w:t>
      </w:r>
      <w:proofErr w:type="spellStart"/>
      <w:r>
        <w:rPr>
          <w:sz w:val="24"/>
          <w:szCs w:val="24"/>
        </w:rPr>
        <w:t>gov’t</w:t>
      </w:r>
      <w:proofErr w:type="spellEnd"/>
      <w:r>
        <w:rPr>
          <w:sz w:val="24"/>
          <w:szCs w:val="24"/>
        </w:rPr>
        <w:t xml:space="preserve"> actor and </w:t>
      </w:r>
      <w:proofErr w:type="spellStart"/>
      <w:r>
        <w:rPr>
          <w:sz w:val="24"/>
          <w:szCs w:val="24"/>
        </w:rPr>
        <w:t>gov’t</w:t>
      </w:r>
      <w:proofErr w:type="spellEnd"/>
      <w:r>
        <w:rPr>
          <w:sz w:val="24"/>
          <w:szCs w:val="24"/>
        </w:rPr>
        <w:t xml:space="preserve"> unresponsiveness. </w:t>
      </w:r>
    </w:p>
    <w:p w:rsidR="000C4CE3" w:rsidRDefault="000C4CE3" w:rsidP="000C4CE3">
      <w:pPr>
        <w:pStyle w:val="ListParagraph"/>
        <w:numPr>
          <w:ilvl w:val="2"/>
          <w:numId w:val="5"/>
        </w:numPr>
        <w:spacing w:after="0"/>
        <w:rPr>
          <w:sz w:val="24"/>
          <w:szCs w:val="24"/>
        </w:rPr>
      </w:pPr>
      <w:r>
        <w:rPr>
          <w:sz w:val="24"/>
          <w:szCs w:val="24"/>
        </w:rPr>
        <w:t>“</w:t>
      </w:r>
      <w:proofErr w:type="gramStart"/>
      <w:r>
        <w:rPr>
          <w:sz w:val="24"/>
          <w:szCs w:val="24"/>
        </w:rPr>
        <w:t>persecution</w:t>
      </w:r>
      <w:proofErr w:type="gramEnd"/>
      <w:r>
        <w:rPr>
          <w:sz w:val="24"/>
          <w:szCs w:val="24"/>
        </w:rPr>
        <w:t xml:space="preserve">” is not ambiguous in statute, and </w:t>
      </w:r>
      <w:proofErr w:type="spellStart"/>
      <w:r>
        <w:rPr>
          <w:sz w:val="24"/>
          <w:szCs w:val="24"/>
        </w:rPr>
        <w:t>gov’t’s</w:t>
      </w:r>
      <w:proofErr w:type="spellEnd"/>
      <w:r>
        <w:rPr>
          <w:sz w:val="24"/>
          <w:szCs w:val="24"/>
        </w:rPr>
        <w:t xml:space="preserve"> new </w:t>
      </w:r>
      <w:proofErr w:type="spellStart"/>
      <w:r>
        <w:rPr>
          <w:sz w:val="24"/>
          <w:szCs w:val="24"/>
        </w:rPr>
        <w:t>interp</w:t>
      </w:r>
      <w:proofErr w:type="spellEnd"/>
      <w:r>
        <w:rPr>
          <w:sz w:val="24"/>
          <w:szCs w:val="24"/>
        </w:rPr>
        <w:t xml:space="preserve"> is inconsistent with INA. (60)</w:t>
      </w:r>
    </w:p>
    <w:p w:rsidR="00060946" w:rsidRDefault="00060946" w:rsidP="000C4CE3">
      <w:pPr>
        <w:pStyle w:val="ListParagraph"/>
        <w:numPr>
          <w:ilvl w:val="2"/>
          <w:numId w:val="5"/>
        </w:numPr>
        <w:spacing w:after="0"/>
        <w:rPr>
          <w:sz w:val="24"/>
          <w:szCs w:val="24"/>
        </w:rPr>
      </w:pPr>
      <w:r>
        <w:rPr>
          <w:sz w:val="24"/>
          <w:szCs w:val="24"/>
        </w:rPr>
        <w:t xml:space="preserve">See </w:t>
      </w:r>
      <w:r>
        <w:rPr>
          <w:i/>
          <w:sz w:val="24"/>
          <w:szCs w:val="24"/>
        </w:rPr>
        <w:t>Matter of Acosta</w:t>
      </w:r>
      <w:r>
        <w:rPr>
          <w:sz w:val="24"/>
          <w:szCs w:val="24"/>
        </w:rPr>
        <w:t xml:space="preserve">: persecution if by </w:t>
      </w:r>
      <w:proofErr w:type="spellStart"/>
      <w:r>
        <w:rPr>
          <w:sz w:val="24"/>
          <w:szCs w:val="24"/>
        </w:rPr>
        <w:t>gov’t</w:t>
      </w:r>
      <w:proofErr w:type="spellEnd"/>
      <w:r>
        <w:rPr>
          <w:sz w:val="24"/>
          <w:szCs w:val="24"/>
        </w:rPr>
        <w:t xml:space="preserve"> or by other actors </w:t>
      </w:r>
      <w:proofErr w:type="spellStart"/>
      <w:r>
        <w:rPr>
          <w:sz w:val="24"/>
          <w:szCs w:val="24"/>
        </w:rPr>
        <w:t>gov’t</w:t>
      </w:r>
      <w:proofErr w:type="spellEnd"/>
      <w:r>
        <w:rPr>
          <w:sz w:val="24"/>
          <w:szCs w:val="24"/>
        </w:rPr>
        <w:t xml:space="preserve"> is unable or unwilling to control.</w:t>
      </w:r>
    </w:p>
    <w:p w:rsidR="00060946" w:rsidRDefault="00060946" w:rsidP="000C4CE3">
      <w:pPr>
        <w:pStyle w:val="ListParagraph"/>
        <w:numPr>
          <w:ilvl w:val="2"/>
          <w:numId w:val="5"/>
        </w:numPr>
        <w:spacing w:after="0"/>
        <w:rPr>
          <w:sz w:val="24"/>
          <w:szCs w:val="24"/>
        </w:rPr>
      </w:pPr>
      <w:r>
        <w:rPr>
          <w:sz w:val="24"/>
          <w:szCs w:val="24"/>
        </w:rPr>
        <w:t xml:space="preserve">“It was clear at the time the Act was passed by Congress that the ‘unwilling and unable’ standard did not require a showing that the </w:t>
      </w:r>
      <w:proofErr w:type="spellStart"/>
      <w:r>
        <w:rPr>
          <w:sz w:val="24"/>
          <w:szCs w:val="24"/>
        </w:rPr>
        <w:t>gov’t</w:t>
      </w:r>
      <w:proofErr w:type="spellEnd"/>
      <w:r>
        <w:rPr>
          <w:sz w:val="24"/>
          <w:szCs w:val="24"/>
        </w:rPr>
        <w:t xml:space="preserve"> ‘condoned’ persecution or was ‘completely helpless’ to prevent it.” (62)</w:t>
      </w:r>
    </w:p>
    <w:p w:rsidR="00060946" w:rsidRDefault="00060946" w:rsidP="000C4CE3">
      <w:pPr>
        <w:pStyle w:val="ListParagraph"/>
        <w:numPr>
          <w:ilvl w:val="2"/>
          <w:numId w:val="5"/>
        </w:numPr>
        <w:spacing w:after="0"/>
        <w:rPr>
          <w:sz w:val="24"/>
          <w:szCs w:val="24"/>
        </w:rPr>
      </w:pPr>
      <w:r>
        <w:rPr>
          <w:sz w:val="24"/>
          <w:szCs w:val="24"/>
        </w:rPr>
        <w:t xml:space="preserve">Heightened standard means that if anybody received </w:t>
      </w:r>
      <w:r>
        <w:rPr>
          <w:i/>
          <w:sz w:val="24"/>
          <w:szCs w:val="24"/>
        </w:rPr>
        <w:t>some</w:t>
      </w:r>
      <w:r>
        <w:rPr>
          <w:sz w:val="24"/>
          <w:szCs w:val="24"/>
        </w:rPr>
        <w:t xml:space="preserve"> assistance from </w:t>
      </w:r>
      <w:proofErr w:type="spellStart"/>
      <w:r>
        <w:rPr>
          <w:sz w:val="24"/>
          <w:szCs w:val="24"/>
        </w:rPr>
        <w:t>gov’t</w:t>
      </w:r>
      <w:proofErr w:type="spellEnd"/>
      <w:r>
        <w:rPr>
          <w:sz w:val="24"/>
          <w:szCs w:val="24"/>
        </w:rPr>
        <w:t>, they could not meet the persecution requirement if abuser is non-</w:t>
      </w:r>
      <w:proofErr w:type="spellStart"/>
      <w:r>
        <w:rPr>
          <w:sz w:val="24"/>
          <w:szCs w:val="24"/>
        </w:rPr>
        <w:t>gov’t</w:t>
      </w:r>
      <w:proofErr w:type="spellEnd"/>
      <w:r>
        <w:rPr>
          <w:sz w:val="24"/>
          <w:szCs w:val="24"/>
        </w:rPr>
        <w:t xml:space="preserve"> actor.</w:t>
      </w:r>
    </w:p>
    <w:p w:rsidR="00B33309" w:rsidRDefault="00B33309" w:rsidP="00B33309">
      <w:pPr>
        <w:pStyle w:val="ListParagraph"/>
        <w:numPr>
          <w:ilvl w:val="0"/>
          <w:numId w:val="7"/>
        </w:numPr>
        <w:spacing w:after="0"/>
        <w:rPr>
          <w:sz w:val="24"/>
          <w:szCs w:val="24"/>
        </w:rPr>
      </w:pPr>
      <w:r>
        <w:rPr>
          <w:b/>
          <w:sz w:val="24"/>
          <w:szCs w:val="24"/>
        </w:rPr>
        <w:t>Plaintiff</w:t>
      </w:r>
      <w:proofErr w:type="gramStart"/>
      <w:r>
        <w:rPr>
          <w:b/>
          <w:sz w:val="24"/>
          <w:szCs w:val="24"/>
        </w:rPr>
        <w:t>:</w:t>
      </w:r>
      <w:r>
        <w:rPr>
          <w:sz w:val="24"/>
          <w:szCs w:val="24"/>
        </w:rPr>
        <w:t xml:space="preserve"> </w:t>
      </w:r>
      <w:r>
        <w:rPr>
          <w:i/>
          <w:sz w:val="24"/>
          <w:szCs w:val="24"/>
        </w:rPr>
        <w:t>”</w:t>
      </w:r>
      <w:proofErr w:type="spellStart"/>
      <w:proofErr w:type="gramEnd"/>
      <w:r>
        <w:rPr>
          <w:i/>
          <w:sz w:val="24"/>
          <w:szCs w:val="24"/>
        </w:rPr>
        <w:t>Gov’t</w:t>
      </w:r>
      <w:proofErr w:type="spellEnd"/>
      <w:r>
        <w:rPr>
          <w:i/>
          <w:sz w:val="24"/>
          <w:szCs w:val="24"/>
        </w:rPr>
        <w:t xml:space="preserve"> created new nexus standard.”</w:t>
      </w:r>
    </w:p>
    <w:p w:rsidR="00B33309" w:rsidRDefault="00B33309" w:rsidP="00B33309">
      <w:pPr>
        <w:pStyle w:val="ListParagraph"/>
        <w:spacing w:after="0"/>
        <w:ind w:left="1080"/>
        <w:rPr>
          <w:sz w:val="24"/>
          <w:szCs w:val="24"/>
        </w:rPr>
      </w:pPr>
      <w:r>
        <w:rPr>
          <w:b/>
          <w:sz w:val="24"/>
          <w:szCs w:val="24"/>
        </w:rPr>
        <w:t>Court:</w:t>
      </w:r>
      <w:r>
        <w:rPr>
          <w:sz w:val="24"/>
          <w:szCs w:val="24"/>
        </w:rPr>
        <w:t xml:space="preserve"> Actually, no—nexus still based on one central reason for persecution according to protected grounds. However,</w:t>
      </w:r>
    </w:p>
    <w:p w:rsidR="00B33309" w:rsidRDefault="00B33309" w:rsidP="00B33309">
      <w:pPr>
        <w:pStyle w:val="ListParagraph"/>
        <w:numPr>
          <w:ilvl w:val="2"/>
          <w:numId w:val="5"/>
        </w:numPr>
        <w:spacing w:after="0"/>
        <w:rPr>
          <w:sz w:val="24"/>
          <w:szCs w:val="24"/>
        </w:rPr>
      </w:pPr>
      <w:r>
        <w:rPr>
          <w:sz w:val="24"/>
          <w:szCs w:val="24"/>
        </w:rPr>
        <w:t xml:space="preserve">“The Court reiterates that, although the nexus standard forecloses cases in which </w:t>
      </w:r>
      <w:r>
        <w:rPr>
          <w:b/>
          <w:i/>
          <w:sz w:val="24"/>
          <w:szCs w:val="24"/>
        </w:rPr>
        <w:t>purely</w:t>
      </w:r>
      <w:r>
        <w:rPr>
          <w:b/>
          <w:sz w:val="24"/>
          <w:szCs w:val="24"/>
        </w:rPr>
        <w:t xml:space="preserve"> </w:t>
      </w:r>
      <w:r>
        <w:rPr>
          <w:sz w:val="24"/>
          <w:szCs w:val="24"/>
        </w:rPr>
        <w:t xml:space="preserve">personal disputes are the impetus for the persecution, it does not preclude a positive credible fear determination simply because there is a personal relationship between the persecutor and the victim, so long as the one central reason for the persecution is a protected ground.” (68-69, </w:t>
      </w:r>
      <w:proofErr w:type="spellStart"/>
      <w:r>
        <w:rPr>
          <w:sz w:val="24"/>
          <w:szCs w:val="24"/>
        </w:rPr>
        <w:t>emph</w:t>
      </w:r>
      <w:proofErr w:type="spellEnd"/>
      <w:r>
        <w:rPr>
          <w:sz w:val="24"/>
          <w:szCs w:val="24"/>
        </w:rPr>
        <w:t>. original)</w:t>
      </w:r>
    </w:p>
    <w:p w:rsidR="00B33309" w:rsidRDefault="00B33309" w:rsidP="00B33309">
      <w:pPr>
        <w:pStyle w:val="ListParagraph"/>
        <w:numPr>
          <w:ilvl w:val="0"/>
          <w:numId w:val="7"/>
        </w:numPr>
        <w:spacing w:after="0"/>
        <w:rPr>
          <w:sz w:val="24"/>
          <w:szCs w:val="24"/>
        </w:rPr>
      </w:pPr>
      <w:r>
        <w:rPr>
          <w:b/>
          <w:sz w:val="24"/>
          <w:szCs w:val="24"/>
        </w:rPr>
        <w:t>Plaintiff:</w:t>
      </w:r>
      <w:r>
        <w:rPr>
          <w:sz w:val="24"/>
          <w:szCs w:val="24"/>
        </w:rPr>
        <w:t xml:space="preserve"> </w:t>
      </w:r>
      <w:r>
        <w:rPr>
          <w:i/>
          <w:sz w:val="24"/>
          <w:szCs w:val="24"/>
        </w:rPr>
        <w:t>“Policy Memorandum establishes a new rule that [PSG] definitions based on claims of DV are impermissibly circular.”</w:t>
      </w:r>
    </w:p>
    <w:p w:rsidR="00B33309" w:rsidRDefault="00B33309" w:rsidP="00B33309">
      <w:pPr>
        <w:pStyle w:val="ListParagraph"/>
        <w:spacing w:after="0"/>
        <w:ind w:left="1080"/>
        <w:rPr>
          <w:sz w:val="24"/>
          <w:szCs w:val="24"/>
        </w:rPr>
      </w:pPr>
      <w:r>
        <w:rPr>
          <w:b/>
          <w:sz w:val="24"/>
          <w:szCs w:val="24"/>
        </w:rPr>
        <w:t>Court:</w:t>
      </w:r>
      <w:r>
        <w:rPr>
          <w:sz w:val="24"/>
          <w:szCs w:val="24"/>
        </w:rPr>
        <w:t xml:space="preserve"> </w:t>
      </w:r>
      <w:r w:rsidR="0021316F">
        <w:rPr>
          <w:sz w:val="24"/>
          <w:szCs w:val="24"/>
        </w:rPr>
        <w:t xml:space="preserve">PSG can’t be defined solely by the persecution, but the persecution may bring attention to the existence of a PSG. </w:t>
      </w:r>
    </w:p>
    <w:p w:rsidR="0021316F" w:rsidRDefault="0021316F" w:rsidP="0021316F">
      <w:pPr>
        <w:pStyle w:val="ListParagraph"/>
        <w:numPr>
          <w:ilvl w:val="2"/>
          <w:numId w:val="5"/>
        </w:numPr>
        <w:spacing w:after="0"/>
        <w:rPr>
          <w:sz w:val="24"/>
          <w:szCs w:val="24"/>
        </w:rPr>
      </w:pPr>
      <w:r>
        <w:rPr>
          <w:sz w:val="24"/>
          <w:szCs w:val="24"/>
        </w:rPr>
        <w:t>Here, DV-claims based on “inability to leave” are possibly cognizable (contra Policy Memorandum’s mandate, which said that it would be circular to say that the inability to leave constituted the PSG, when that was part of the abuse.) There are independent characteristics present in each case which must be taken into account.</w:t>
      </w:r>
    </w:p>
    <w:p w:rsidR="002A54A9" w:rsidRPr="002A54A9" w:rsidRDefault="002A54A9" w:rsidP="002A54A9">
      <w:pPr>
        <w:pStyle w:val="ListParagraph"/>
        <w:numPr>
          <w:ilvl w:val="0"/>
          <w:numId w:val="7"/>
        </w:numPr>
        <w:spacing w:after="0"/>
        <w:rPr>
          <w:sz w:val="24"/>
          <w:szCs w:val="24"/>
        </w:rPr>
      </w:pPr>
      <w:r>
        <w:rPr>
          <w:b/>
          <w:sz w:val="24"/>
          <w:szCs w:val="24"/>
        </w:rPr>
        <w:t>Plaintiff:</w:t>
      </w:r>
      <w:r>
        <w:rPr>
          <w:sz w:val="24"/>
          <w:szCs w:val="24"/>
        </w:rPr>
        <w:t xml:space="preserve"> </w:t>
      </w:r>
      <w:r>
        <w:rPr>
          <w:i/>
          <w:sz w:val="24"/>
          <w:szCs w:val="24"/>
        </w:rPr>
        <w:t>Credible fear policies unlawfully import delineation of PSG into credible fear stage, and contain a discretionary requirement to deny relief.</w:t>
      </w:r>
    </w:p>
    <w:p w:rsidR="002A54A9" w:rsidRDefault="002A54A9" w:rsidP="002A54A9">
      <w:pPr>
        <w:pStyle w:val="ListParagraph"/>
        <w:spacing w:after="0"/>
        <w:ind w:left="1080"/>
        <w:rPr>
          <w:sz w:val="24"/>
          <w:szCs w:val="24"/>
        </w:rPr>
      </w:pPr>
      <w:r>
        <w:rPr>
          <w:b/>
          <w:sz w:val="24"/>
          <w:szCs w:val="24"/>
        </w:rPr>
        <w:t xml:space="preserve">Court: </w:t>
      </w:r>
      <w:r>
        <w:rPr>
          <w:sz w:val="24"/>
          <w:szCs w:val="24"/>
        </w:rPr>
        <w:t xml:space="preserve">Not at the </w:t>
      </w:r>
      <w:r>
        <w:rPr>
          <w:i/>
          <w:sz w:val="24"/>
          <w:szCs w:val="24"/>
        </w:rPr>
        <w:t>Matter of A-B-</w:t>
      </w:r>
      <w:r>
        <w:rPr>
          <w:sz w:val="24"/>
          <w:szCs w:val="24"/>
        </w:rPr>
        <w:t xml:space="preserve"> level—but Policy Memorandum does go all the way to requiring delineation </w:t>
      </w:r>
      <w:proofErr w:type="spellStart"/>
      <w:r>
        <w:rPr>
          <w:sz w:val="24"/>
          <w:szCs w:val="24"/>
        </w:rPr>
        <w:t>in credible</w:t>
      </w:r>
      <w:proofErr w:type="spellEnd"/>
      <w:r>
        <w:rPr>
          <w:sz w:val="24"/>
          <w:szCs w:val="24"/>
        </w:rPr>
        <w:t xml:space="preserve"> fear interviews.</w:t>
      </w:r>
    </w:p>
    <w:p w:rsidR="002A54A9" w:rsidRDefault="002A54A9" w:rsidP="002A54A9">
      <w:pPr>
        <w:pStyle w:val="ListParagraph"/>
        <w:numPr>
          <w:ilvl w:val="0"/>
          <w:numId w:val="7"/>
        </w:numPr>
        <w:spacing w:after="0"/>
        <w:rPr>
          <w:sz w:val="24"/>
          <w:szCs w:val="24"/>
        </w:rPr>
      </w:pPr>
      <w:r>
        <w:rPr>
          <w:b/>
          <w:sz w:val="24"/>
          <w:szCs w:val="24"/>
        </w:rPr>
        <w:t>Plaintiff:</w:t>
      </w:r>
      <w:r>
        <w:rPr>
          <w:sz w:val="24"/>
          <w:szCs w:val="24"/>
        </w:rPr>
        <w:t xml:space="preserve"> </w:t>
      </w:r>
      <w:r>
        <w:rPr>
          <w:i/>
          <w:sz w:val="24"/>
          <w:szCs w:val="24"/>
        </w:rPr>
        <w:t xml:space="preserve">Policy Memorandum’s requirements re. </w:t>
      </w:r>
      <w:proofErr w:type="gramStart"/>
      <w:r>
        <w:rPr>
          <w:i/>
          <w:sz w:val="24"/>
          <w:szCs w:val="24"/>
        </w:rPr>
        <w:t>selective</w:t>
      </w:r>
      <w:proofErr w:type="gramEnd"/>
      <w:r>
        <w:rPr>
          <w:i/>
          <w:sz w:val="24"/>
          <w:szCs w:val="24"/>
        </w:rPr>
        <w:t xml:space="preserve"> use of case law are unlawful.</w:t>
      </w:r>
    </w:p>
    <w:p w:rsidR="002A54A9" w:rsidRDefault="002A54A9" w:rsidP="002A54A9">
      <w:pPr>
        <w:pStyle w:val="ListParagraph"/>
        <w:spacing w:after="0"/>
        <w:ind w:left="1080"/>
        <w:rPr>
          <w:sz w:val="24"/>
          <w:szCs w:val="24"/>
        </w:rPr>
      </w:pPr>
      <w:r>
        <w:rPr>
          <w:b/>
          <w:sz w:val="24"/>
          <w:szCs w:val="24"/>
        </w:rPr>
        <w:t>Court:</w:t>
      </w:r>
      <w:r>
        <w:rPr>
          <w:sz w:val="24"/>
          <w:szCs w:val="24"/>
        </w:rPr>
        <w:t xml:space="preserve"> </w:t>
      </w:r>
      <w:r w:rsidR="00E837DD">
        <w:rPr>
          <w:sz w:val="24"/>
          <w:szCs w:val="24"/>
        </w:rPr>
        <w:t>Yes, this is a violation of law because it exceeds agency’s ability to disregard precedential case law in favor of agency’s interpretation.</w:t>
      </w:r>
    </w:p>
    <w:p w:rsidR="009A46A1" w:rsidRPr="009A46A1" w:rsidRDefault="009A46A1" w:rsidP="009A46A1">
      <w:pPr>
        <w:pStyle w:val="ListParagraph"/>
        <w:numPr>
          <w:ilvl w:val="2"/>
          <w:numId w:val="5"/>
        </w:numPr>
        <w:spacing w:after="0"/>
        <w:rPr>
          <w:i/>
          <w:sz w:val="24"/>
          <w:szCs w:val="24"/>
        </w:rPr>
      </w:pPr>
      <w:r w:rsidRPr="009A46A1">
        <w:rPr>
          <w:sz w:val="24"/>
          <w:szCs w:val="24"/>
        </w:rPr>
        <w:lastRenderedPageBreak/>
        <w:t>“The directive requires</w:t>
      </w:r>
      <w:r>
        <w:rPr>
          <w:b/>
          <w:sz w:val="24"/>
          <w:szCs w:val="24"/>
        </w:rPr>
        <w:t xml:space="preserve"> </w:t>
      </w:r>
      <w:r>
        <w:rPr>
          <w:sz w:val="24"/>
          <w:szCs w:val="24"/>
        </w:rPr>
        <w:t xml:space="preserve">officers performing credible fear determinations to use </w:t>
      </w:r>
      <w:r>
        <w:rPr>
          <w:i/>
          <w:sz w:val="24"/>
          <w:szCs w:val="24"/>
        </w:rPr>
        <w:t>Brand X</w:t>
      </w:r>
      <w:r>
        <w:rPr>
          <w:sz w:val="24"/>
          <w:szCs w:val="24"/>
        </w:rPr>
        <w:t xml:space="preserve"> as a shield against any prior or future federal circuit court decisions inconsistent with the sweeping proclamations made in </w:t>
      </w:r>
      <w:r>
        <w:rPr>
          <w:i/>
          <w:sz w:val="24"/>
          <w:szCs w:val="24"/>
        </w:rPr>
        <w:t>Matter of A-B-</w:t>
      </w:r>
      <w:r>
        <w:rPr>
          <w:sz w:val="24"/>
          <w:szCs w:val="24"/>
        </w:rPr>
        <w:t xml:space="preserve"> regardless of whether </w:t>
      </w:r>
      <w:r>
        <w:rPr>
          <w:i/>
          <w:sz w:val="24"/>
          <w:szCs w:val="24"/>
        </w:rPr>
        <w:t xml:space="preserve">Brand X </w:t>
      </w:r>
      <w:r w:rsidRPr="009A46A1">
        <w:rPr>
          <w:sz w:val="24"/>
          <w:szCs w:val="24"/>
        </w:rPr>
        <w:t>has any application under the circumstances of that case.</w:t>
      </w:r>
      <w:r>
        <w:rPr>
          <w:sz w:val="24"/>
          <w:szCs w:val="24"/>
        </w:rPr>
        <w:t xml:space="preserve">” (84) (See below in Commentary about </w:t>
      </w:r>
      <w:r>
        <w:rPr>
          <w:i/>
          <w:sz w:val="24"/>
          <w:szCs w:val="24"/>
        </w:rPr>
        <w:t>Brand X</w:t>
      </w:r>
      <w:r>
        <w:rPr>
          <w:sz w:val="24"/>
          <w:szCs w:val="24"/>
        </w:rPr>
        <w:t>.)</w:t>
      </w:r>
    </w:p>
    <w:p w:rsidR="009A46A1" w:rsidRDefault="009A46A1" w:rsidP="009A46A1">
      <w:pPr>
        <w:spacing w:after="0"/>
        <w:ind w:left="720"/>
        <w:rPr>
          <w:sz w:val="24"/>
          <w:szCs w:val="24"/>
        </w:rPr>
      </w:pPr>
      <w:r>
        <w:rPr>
          <w:sz w:val="24"/>
          <w:szCs w:val="24"/>
        </w:rPr>
        <w:t xml:space="preserve">6b. </w:t>
      </w:r>
      <w:r>
        <w:rPr>
          <w:b/>
          <w:sz w:val="24"/>
          <w:szCs w:val="24"/>
        </w:rPr>
        <w:t>Plaintiff:</w:t>
      </w:r>
      <w:r>
        <w:rPr>
          <w:sz w:val="24"/>
          <w:szCs w:val="24"/>
        </w:rPr>
        <w:t xml:space="preserve"> also, the restriction to favorable case law in the district where the credible fear interview is happening (rather than where hearing will happen) is a violation of APA and INA, because “the credible fear </w:t>
      </w:r>
      <w:proofErr w:type="gramStart"/>
      <w:r>
        <w:rPr>
          <w:sz w:val="24"/>
          <w:szCs w:val="24"/>
        </w:rPr>
        <w:t>standard  .</w:t>
      </w:r>
      <w:proofErr w:type="gramEnd"/>
      <w:r>
        <w:rPr>
          <w:sz w:val="24"/>
          <w:szCs w:val="24"/>
        </w:rPr>
        <w:t xml:space="preserve"> . . requires an alien to be afforded the benefit of the circuit law most favorable to his or her claim because there is a possibility that the eventual asylum hearing could take place in that circuit.” (88)</w:t>
      </w:r>
    </w:p>
    <w:p w:rsidR="001B4B47" w:rsidRPr="001B4B47" w:rsidRDefault="001B4B47" w:rsidP="001B4B47">
      <w:pPr>
        <w:spacing w:after="0"/>
        <w:ind w:left="1440"/>
        <w:rPr>
          <w:sz w:val="24"/>
          <w:szCs w:val="24"/>
        </w:rPr>
      </w:pPr>
      <w:r>
        <w:rPr>
          <w:b/>
          <w:sz w:val="24"/>
          <w:szCs w:val="24"/>
        </w:rPr>
        <w:t>Court:</w:t>
      </w:r>
      <w:r>
        <w:rPr>
          <w:sz w:val="24"/>
          <w:szCs w:val="24"/>
        </w:rPr>
        <w:t xml:space="preserve"> This is in keeping with the low screening standard that Congress intended for the credible fear interview. “Thus, if there is a disagreement among the circuits on an issue, the alien should get the benefit of that disagreement since, if the removal proceedings are heard in the circuit favorable to the alien’s claim, there would be a significant possibility the alien would prevail on that claim. The </w:t>
      </w:r>
      <w:proofErr w:type="spellStart"/>
      <w:r>
        <w:rPr>
          <w:sz w:val="24"/>
          <w:szCs w:val="24"/>
        </w:rPr>
        <w:t>gov’t’s</w:t>
      </w:r>
      <w:proofErr w:type="spellEnd"/>
      <w:r>
        <w:rPr>
          <w:sz w:val="24"/>
          <w:szCs w:val="24"/>
        </w:rPr>
        <w:t xml:space="preserve"> reading would allow for an alien’s deportation, following a negative credible fear determination, even if the alien would have a significant possibility of establishing asylum . . . during his or her removal proceeding. Thus, the </w:t>
      </w:r>
      <w:proofErr w:type="spellStart"/>
      <w:r>
        <w:rPr>
          <w:sz w:val="24"/>
          <w:szCs w:val="24"/>
        </w:rPr>
        <w:t>gov’ts</w:t>
      </w:r>
      <w:proofErr w:type="spellEnd"/>
      <w:r>
        <w:rPr>
          <w:sz w:val="24"/>
          <w:szCs w:val="24"/>
        </w:rPr>
        <w:t xml:space="preserve"> reading leads to the exact opposite result intended by Congress.” (90)</w:t>
      </w:r>
    </w:p>
    <w:p w:rsidR="00A63F47" w:rsidRPr="0010547E" w:rsidRDefault="00A63F47" w:rsidP="006A18CC">
      <w:pPr>
        <w:pStyle w:val="ListParagraph"/>
        <w:spacing w:after="0"/>
        <w:rPr>
          <w:sz w:val="24"/>
          <w:szCs w:val="24"/>
        </w:rPr>
      </w:pPr>
    </w:p>
    <w:p w:rsidR="00922D78" w:rsidRDefault="00922D78" w:rsidP="0010547E">
      <w:pPr>
        <w:spacing w:after="0"/>
        <w:rPr>
          <w:b/>
          <w:sz w:val="24"/>
          <w:szCs w:val="24"/>
        </w:rPr>
      </w:pPr>
      <w:proofErr w:type="spellStart"/>
      <w:r>
        <w:rPr>
          <w:b/>
          <w:sz w:val="24"/>
          <w:szCs w:val="24"/>
        </w:rPr>
        <w:t>Gov’t</w:t>
      </w:r>
      <w:proofErr w:type="spellEnd"/>
      <w:r>
        <w:rPr>
          <w:b/>
          <w:sz w:val="24"/>
          <w:szCs w:val="24"/>
        </w:rPr>
        <w:t xml:space="preserve"> Motion for Summary Judgment </w:t>
      </w:r>
    </w:p>
    <w:p w:rsidR="008162E6" w:rsidRDefault="008162E6" w:rsidP="008162E6">
      <w:pPr>
        <w:pStyle w:val="ListParagraph"/>
        <w:numPr>
          <w:ilvl w:val="0"/>
          <w:numId w:val="5"/>
        </w:numPr>
        <w:spacing w:after="0"/>
        <w:rPr>
          <w:sz w:val="24"/>
          <w:szCs w:val="24"/>
        </w:rPr>
      </w:pPr>
      <w:r>
        <w:rPr>
          <w:sz w:val="24"/>
          <w:szCs w:val="24"/>
        </w:rPr>
        <w:t xml:space="preserve">Argues that the court lacks jurisdiction to review challenge to </w:t>
      </w:r>
      <w:r>
        <w:rPr>
          <w:i/>
          <w:sz w:val="24"/>
          <w:szCs w:val="24"/>
        </w:rPr>
        <w:t>Matter of A-B-</w:t>
      </w:r>
      <w:r>
        <w:rPr>
          <w:sz w:val="24"/>
          <w:szCs w:val="24"/>
        </w:rPr>
        <w:t xml:space="preserve"> and the plaintiffs lack standing to challenge the Policy Memorandum. (So the Court has to address these challenges to </w:t>
      </w:r>
      <w:proofErr w:type="spellStart"/>
      <w:r>
        <w:rPr>
          <w:sz w:val="24"/>
          <w:szCs w:val="24"/>
        </w:rPr>
        <w:t>justiciability</w:t>
      </w:r>
      <w:proofErr w:type="spellEnd"/>
      <w:r>
        <w:rPr>
          <w:sz w:val="24"/>
          <w:szCs w:val="24"/>
        </w:rPr>
        <w:t xml:space="preserve"> before it can proceed to the merits of a claim.)</w:t>
      </w:r>
    </w:p>
    <w:p w:rsidR="008162E6" w:rsidRDefault="008162E6" w:rsidP="008162E6">
      <w:pPr>
        <w:pStyle w:val="ListParagraph"/>
        <w:numPr>
          <w:ilvl w:val="0"/>
          <w:numId w:val="5"/>
        </w:numPr>
        <w:spacing w:after="0"/>
        <w:rPr>
          <w:sz w:val="24"/>
          <w:szCs w:val="24"/>
        </w:rPr>
      </w:pPr>
      <w:r>
        <w:rPr>
          <w:sz w:val="24"/>
          <w:szCs w:val="24"/>
        </w:rPr>
        <w:t>Court’s Analysis:</w:t>
      </w:r>
    </w:p>
    <w:p w:rsidR="008162E6" w:rsidRPr="008162E6" w:rsidRDefault="008162E6" w:rsidP="008162E6">
      <w:pPr>
        <w:pStyle w:val="ListParagraph"/>
        <w:numPr>
          <w:ilvl w:val="1"/>
          <w:numId w:val="5"/>
        </w:numPr>
        <w:spacing w:after="0"/>
        <w:rPr>
          <w:sz w:val="24"/>
          <w:szCs w:val="24"/>
        </w:rPr>
      </w:pPr>
      <w:r>
        <w:rPr>
          <w:sz w:val="24"/>
          <w:szCs w:val="24"/>
        </w:rPr>
        <w:t xml:space="preserve">Yep, we have jurisdiction. (See </w:t>
      </w:r>
      <w:r>
        <w:rPr>
          <w:b/>
          <w:sz w:val="24"/>
          <w:szCs w:val="24"/>
        </w:rPr>
        <w:t xml:space="preserve">8 U.S.C. </w:t>
      </w:r>
      <w:r>
        <w:rPr>
          <w:rFonts w:cstheme="minorHAnsi"/>
          <w:b/>
          <w:sz w:val="24"/>
          <w:szCs w:val="24"/>
        </w:rPr>
        <w:t>§1252(e</w:t>
      </w:r>
      <w:proofErr w:type="gramStart"/>
      <w:r>
        <w:rPr>
          <w:rFonts w:cstheme="minorHAnsi"/>
          <w:b/>
          <w:sz w:val="24"/>
          <w:szCs w:val="24"/>
        </w:rPr>
        <w:t>)(</w:t>
      </w:r>
      <w:proofErr w:type="gramEnd"/>
      <w:r>
        <w:rPr>
          <w:rFonts w:cstheme="minorHAnsi"/>
          <w:b/>
          <w:sz w:val="24"/>
          <w:szCs w:val="24"/>
        </w:rPr>
        <w:t>3)</w:t>
      </w:r>
      <w:r>
        <w:rPr>
          <w:rFonts w:cstheme="minorHAnsi"/>
          <w:sz w:val="24"/>
          <w:szCs w:val="24"/>
        </w:rPr>
        <w:t xml:space="preserve">) </w:t>
      </w:r>
      <w:r w:rsidRPr="008162E6">
        <w:rPr>
          <w:rFonts w:cstheme="minorHAnsi"/>
          <w:sz w:val="24"/>
          <w:szCs w:val="24"/>
        </w:rPr>
        <w:sym w:font="Wingdings" w:char="F0DF"/>
      </w:r>
      <w:r>
        <w:rPr>
          <w:rFonts w:cstheme="minorHAnsi"/>
          <w:sz w:val="24"/>
          <w:szCs w:val="24"/>
        </w:rPr>
        <w:t xml:space="preserve"> this is the exception to the </w:t>
      </w:r>
      <w:proofErr w:type="spellStart"/>
      <w:r>
        <w:rPr>
          <w:rFonts w:cstheme="minorHAnsi"/>
          <w:sz w:val="24"/>
          <w:szCs w:val="24"/>
        </w:rPr>
        <w:t>nonreviewability</w:t>
      </w:r>
      <w:proofErr w:type="spellEnd"/>
      <w:r>
        <w:rPr>
          <w:rFonts w:cstheme="minorHAnsi"/>
          <w:sz w:val="24"/>
          <w:szCs w:val="24"/>
        </w:rPr>
        <w:t xml:space="preserve"> of AG’s decisions: exclusively the USDC for DC gets to review challenges to the validity of the expedited removal system, including constitutionality of any provision of the statute or “challenges claiming that a given regulation or written policy directive, guideline, or procedure is inconsistent with law” (29). Challenges must be brought w/in 60 days of implementation.</w:t>
      </w:r>
    </w:p>
    <w:p w:rsidR="008162E6" w:rsidRPr="008162E6" w:rsidRDefault="008162E6" w:rsidP="008162E6">
      <w:pPr>
        <w:pStyle w:val="ListParagraph"/>
        <w:numPr>
          <w:ilvl w:val="1"/>
          <w:numId w:val="5"/>
        </w:numPr>
        <w:spacing w:after="0"/>
        <w:rPr>
          <w:sz w:val="24"/>
          <w:szCs w:val="24"/>
        </w:rPr>
      </w:pPr>
      <w:proofErr w:type="spellStart"/>
      <w:r>
        <w:rPr>
          <w:rFonts w:cstheme="minorHAnsi"/>
          <w:sz w:val="24"/>
          <w:szCs w:val="24"/>
        </w:rPr>
        <w:t>Gov’t</w:t>
      </w:r>
      <w:proofErr w:type="spellEnd"/>
      <w:r>
        <w:rPr>
          <w:rFonts w:cstheme="minorHAnsi"/>
          <w:sz w:val="24"/>
          <w:szCs w:val="24"/>
        </w:rPr>
        <w:t>: well, you can’t challenge this because it isn’t referring to the expedited removal part of the INA.</w:t>
      </w:r>
    </w:p>
    <w:p w:rsidR="008162E6" w:rsidRPr="008162E6" w:rsidRDefault="008162E6" w:rsidP="008162E6">
      <w:pPr>
        <w:pStyle w:val="ListParagraph"/>
        <w:numPr>
          <w:ilvl w:val="2"/>
          <w:numId w:val="5"/>
        </w:numPr>
        <w:spacing w:after="0"/>
        <w:rPr>
          <w:sz w:val="24"/>
          <w:szCs w:val="24"/>
        </w:rPr>
      </w:pPr>
      <w:r>
        <w:rPr>
          <w:rFonts w:cstheme="minorHAnsi"/>
          <w:sz w:val="24"/>
          <w:szCs w:val="24"/>
        </w:rPr>
        <w:t xml:space="preserve">Court: Um, Sessions QUOTED that part in </w:t>
      </w:r>
      <w:r>
        <w:rPr>
          <w:rFonts w:cstheme="minorHAnsi"/>
          <w:i/>
          <w:sz w:val="24"/>
          <w:szCs w:val="24"/>
        </w:rPr>
        <w:t>Matter of A-B-</w:t>
      </w:r>
      <w:r>
        <w:rPr>
          <w:rFonts w:cstheme="minorHAnsi"/>
          <w:sz w:val="24"/>
          <w:szCs w:val="24"/>
        </w:rPr>
        <w:t>, so, sorry.</w:t>
      </w:r>
    </w:p>
    <w:p w:rsidR="008162E6" w:rsidRDefault="00B965A3" w:rsidP="00B965A3">
      <w:pPr>
        <w:pStyle w:val="ListParagraph"/>
        <w:numPr>
          <w:ilvl w:val="1"/>
          <w:numId w:val="5"/>
        </w:numPr>
        <w:spacing w:after="0"/>
        <w:rPr>
          <w:sz w:val="24"/>
          <w:szCs w:val="24"/>
        </w:rPr>
      </w:pPr>
      <w:proofErr w:type="spellStart"/>
      <w:r>
        <w:rPr>
          <w:sz w:val="24"/>
          <w:szCs w:val="24"/>
        </w:rPr>
        <w:t>Gov’t</w:t>
      </w:r>
      <w:proofErr w:type="spellEnd"/>
      <w:r>
        <w:rPr>
          <w:sz w:val="24"/>
          <w:szCs w:val="24"/>
        </w:rPr>
        <w:t xml:space="preserve">: okay, maybe so. But anyway, this isn’t a policy, it’s </w:t>
      </w:r>
      <w:proofErr w:type="gramStart"/>
      <w:r>
        <w:rPr>
          <w:sz w:val="24"/>
          <w:szCs w:val="24"/>
        </w:rPr>
        <w:t>an adjudication</w:t>
      </w:r>
      <w:proofErr w:type="gramEnd"/>
      <w:r>
        <w:rPr>
          <w:sz w:val="24"/>
          <w:szCs w:val="24"/>
        </w:rPr>
        <w:t>.</w:t>
      </w:r>
    </w:p>
    <w:p w:rsidR="00B965A3" w:rsidRDefault="00B965A3" w:rsidP="00B965A3">
      <w:pPr>
        <w:pStyle w:val="ListParagraph"/>
        <w:numPr>
          <w:ilvl w:val="2"/>
          <w:numId w:val="5"/>
        </w:numPr>
        <w:spacing w:after="0"/>
        <w:rPr>
          <w:sz w:val="24"/>
          <w:szCs w:val="24"/>
        </w:rPr>
      </w:pPr>
      <w:r>
        <w:rPr>
          <w:sz w:val="24"/>
          <w:szCs w:val="24"/>
        </w:rPr>
        <w:t>Court: “it is well-settled that an ‘administrative agency can, of course, make legal-policy through rulemaking or by adjudication.’” (quoting stuff, p.31)</w:t>
      </w:r>
    </w:p>
    <w:p w:rsidR="00B965A3" w:rsidRPr="008162E6" w:rsidRDefault="00B965A3" w:rsidP="00B965A3">
      <w:pPr>
        <w:pStyle w:val="ListParagraph"/>
        <w:numPr>
          <w:ilvl w:val="2"/>
          <w:numId w:val="5"/>
        </w:numPr>
        <w:spacing w:after="0"/>
        <w:rPr>
          <w:sz w:val="24"/>
          <w:szCs w:val="24"/>
        </w:rPr>
      </w:pPr>
      <w:r>
        <w:rPr>
          <w:sz w:val="24"/>
          <w:szCs w:val="24"/>
        </w:rPr>
        <w:t>“</w:t>
      </w:r>
      <w:r>
        <w:rPr>
          <w:i/>
          <w:sz w:val="24"/>
          <w:szCs w:val="24"/>
        </w:rPr>
        <w:t>Matter of A-B-</w:t>
      </w:r>
      <w:r>
        <w:rPr>
          <w:sz w:val="24"/>
          <w:szCs w:val="24"/>
        </w:rPr>
        <w:t xml:space="preserve"> is a sweeping opinion in which the AG made clear that asylum officers must apply the standards set forth to subsequent fear determinations.” (31)</w:t>
      </w:r>
    </w:p>
    <w:p w:rsidR="00922D78" w:rsidRDefault="00922D78" w:rsidP="0010547E">
      <w:pPr>
        <w:spacing w:after="0"/>
        <w:rPr>
          <w:b/>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9F6A2F" w:rsidRPr="00E85CA4" w:rsidRDefault="009F6A2F" w:rsidP="009F6A2F">
      <w:pPr>
        <w:pStyle w:val="ListParagraph"/>
        <w:numPr>
          <w:ilvl w:val="0"/>
          <w:numId w:val="4"/>
        </w:numPr>
        <w:spacing w:after="0"/>
        <w:rPr>
          <w:b/>
          <w:sz w:val="24"/>
          <w:szCs w:val="24"/>
        </w:rPr>
      </w:pPr>
      <w:r>
        <w:rPr>
          <w:b/>
          <w:sz w:val="24"/>
          <w:szCs w:val="24"/>
        </w:rPr>
        <w:lastRenderedPageBreak/>
        <w:t xml:space="preserve">8 U.S.C. </w:t>
      </w:r>
      <w:r>
        <w:rPr>
          <w:rFonts w:cstheme="minorHAnsi"/>
          <w:b/>
          <w:sz w:val="24"/>
          <w:szCs w:val="24"/>
        </w:rPr>
        <w:t>§</w:t>
      </w:r>
      <w:r>
        <w:rPr>
          <w:b/>
          <w:sz w:val="24"/>
          <w:szCs w:val="24"/>
        </w:rPr>
        <w:t>1225(b</w:t>
      </w:r>
      <w:proofErr w:type="gramStart"/>
      <w:r>
        <w:rPr>
          <w:b/>
          <w:sz w:val="24"/>
          <w:szCs w:val="24"/>
        </w:rPr>
        <w:t>)(</w:t>
      </w:r>
      <w:proofErr w:type="gramEnd"/>
      <w:r>
        <w:rPr>
          <w:b/>
          <w:sz w:val="24"/>
          <w:szCs w:val="24"/>
        </w:rPr>
        <w:t>1)(B)(</w:t>
      </w:r>
      <w:r w:rsidR="00421A36">
        <w:rPr>
          <w:b/>
          <w:sz w:val="24"/>
          <w:szCs w:val="24"/>
        </w:rPr>
        <w:t>ii</w:t>
      </w:r>
      <w:r>
        <w:rPr>
          <w:b/>
          <w:sz w:val="24"/>
          <w:szCs w:val="24"/>
        </w:rPr>
        <w:t>):</w:t>
      </w:r>
      <w:r>
        <w:rPr>
          <w:sz w:val="24"/>
          <w:szCs w:val="24"/>
        </w:rPr>
        <w:t xml:space="preserve"> eligibility for asylum if alien establishes a credible fear of persecution</w:t>
      </w:r>
      <w:r w:rsidR="00421A36">
        <w:rPr>
          <w:sz w:val="24"/>
          <w:szCs w:val="24"/>
        </w:rPr>
        <w:t>; expedited removal if not.</w:t>
      </w:r>
    </w:p>
    <w:p w:rsidR="00E85CA4" w:rsidRPr="00E85CA4" w:rsidRDefault="00E85CA4" w:rsidP="009F6A2F">
      <w:pPr>
        <w:pStyle w:val="ListParagraph"/>
        <w:numPr>
          <w:ilvl w:val="0"/>
          <w:numId w:val="4"/>
        </w:numPr>
        <w:spacing w:after="0"/>
        <w:rPr>
          <w:b/>
          <w:sz w:val="24"/>
          <w:szCs w:val="24"/>
        </w:rPr>
      </w:pPr>
      <w:r>
        <w:rPr>
          <w:b/>
          <w:sz w:val="24"/>
          <w:szCs w:val="24"/>
        </w:rPr>
        <w:t xml:space="preserve">8 U.S.C. </w:t>
      </w:r>
      <w:r>
        <w:rPr>
          <w:rFonts w:cstheme="minorHAnsi"/>
          <w:b/>
          <w:sz w:val="24"/>
          <w:szCs w:val="24"/>
        </w:rPr>
        <w:t>§1158(b</w:t>
      </w:r>
      <w:proofErr w:type="gramStart"/>
      <w:r>
        <w:rPr>
          <w:rFonts w:cstheme="minorHAnsi"/>
          <w:b/>
          <w:sz w:val="24"/>
          <w:szCs w:val="24"/>
        </w:rPr>
        <w:t>)(</w:t>
      </w:r>
      <w:proofErr w:type="gramEnd"/>
      <w:r>
        <w:rPr>
          <w:rFonts w:cstheme="minorHAnsi"/>
          <w:b/>
          <w:sz w:val="24"/>
          <w:szCs w:val="24"/>
        </w:rPr>
        <w:t>1)(A):</w:t>
      </w:r>
      <w:r>
        <w:rPr>
          <w:rFonts w:cstheme="minorHAnsi"/>
          <w:sz w:val="24"/>
          <w:szCs w:val="24"/>
        </w:rPr>
        <w:t xml:space="preserve"> AG has discretion to grant asylum to removable aliens who qualify as “refugees.”</w:t>
      </w:r>
    </w:p>
    <w:p w:rsidR="00E85CA4" w:rsidRPr="00CA53FB" w:rsidRDefault="00E85CA4" w:rsidP="009F6A2F">
      <w:pPr>
        <w:pStyle w:val="ListParagraph"/>
        <w:numPr>
          <w:ilvl w:val="0"/>
          <w:numId w:val="4"/>
        </w:numPr>
        <w:spacing w:after="0"/>
        <w:rPr>
          <w:b/>
          <w:sz w:val="24"/>
          <w:szCs w:val="24"/>
        </w:rPr>
      </w:pPr>
      <w:r>
        <w:rPr>
          <w:b/>
          <w:sz w:val="24"/>
          <w:szCs w:val="24"/>
        </w:rPr>
        <w:t xml:space="preserve">8 U.S.C. </w:t>
      </w:r>
      <w:r>
        <w:rPr>
          <w:rFonts w:cstheme="minorHAnsi"/>
          <w:b/>
          <w:sz w:val="24"/>
          <w:szCs w:val="24"/>
        </w:rPr>
        <w:t>§1101(a</w:t>
      </w:r>
      <w:proofErr w:type="gramStart"/>
      <w:r>
        <w:rPr>
          <w:rFonts w:cstheme="minorHAnsi"/>
          <w:b/>
          <w:sz w:val="24"/>
          <w:szCs w:val="24"/>
        </w:rPr>
        <w:t>)(</w:t>
      </w:r>
      <w:proofErr w:type="gramEnd"/>
      <w:r>
        <w:rPr>
          <w:rFonts w:cstheme="minorHAnsi"/>
          <w:b/>
          <w:sz w:val="24"/>
          <w:szCs w:val="24"/>
        </w:rPr>
        <w:t>42)(A):</w:t>
      </w:r>
      <w:r>
        <w:rPr>
          <w:rFonts w:cstheme="minorHAnsi"/>
          <w:sz w:val="24"/>
          <w:szCs w:val="24"/>
        </w:rPr>
        <w:t xml:space="preserve"> Definition of refugee—“persecution on account of race, religion, nationality, membership in a particular social group, or political opinion.”</w:t>
      </w:r>
    </w:p>
    <w:p w:rsidR="00CA53FB" w:rsidRPr="00FA447D" w:rsidRDefault="00CA53FB" w:rsidP="009F6A2F">
      <w:pPr>
        <w:pStyle w:val="ListParagraph"/>
        <w:numPr>
          <w:ilvl w:val="0"/>
          <w:numId w:val="4"/>
        </w:numPr>
        <w:spacing w:after="0"/>
        <w:rPr>
          <w:b/>
          <w:sz w:val="24"/>
          <w:szCs w:val="24"/>
        </w:rPr>
      </w:pPr>
      <w:r>
        <w:rPr>
          <w:b/>
          <w:sz w:val="24"/>
          <w:szCs w:val="24"/>
        </w:rPr>
        <w:t xml:space="preserve">8 U.S.C. </w:t>
      </w:r>
      <w:r>
        <w:rPr>
          <w:rFonts w:cstheme="minorHAnsi"/>
          <w:b/>
          <w:sz w:val="24"/>
          <w:szCs w:val="24"/>
        </w:rPr>
        <w:t>§1252:</w:t>
      </w:r>
      <w:r>
        <w:rPr>
          <w:rFonts w:cstheme="minorHAnsi"/>
          <w:sz w:val="24"/>
          <w:szCs w:val="24"/>
        </w:rPr>
        <w:t xml:space="preserve"> scope of judicial review of expedited removal orders—no review allowed, except habeas proceeding (erroneously removed) or “a systematic challenge to the legality of a ‘written policy directive, written policy guideline, or written procedure issued by or under the authority of the AG to implement’ the expedited removal process” (11 and </w:t>
      </w:r>
      <w:r>
        <w:rPr>
          <w:rFonts w:cstheme="minorHAnsi"/>
          <w:b/>
          <w:sz w:val="24"/>
          <w:szCs w:val="24"/>
        </w:rPr>
        <w:t>§1252(e)(3)(A)(ii)</w:t>
      </w:r>
      <w:r>
        <w:rPr>
          <w:rFonts w:cstheme="minorHAnsi"/>
          <w:sz w:val="24"/>
          <w:szCs w:val="24"/>
        </w:rPr>
        <w:t>). And THAT only gets to happen in the USDC of DC!</w:t>
      </w:r>
    </w:p>
    <w:p w:rsidR="00FA447D" w:rsidRPr="00FA447D" w:rsidRDefault="00FA447D" w:rsidP="009F6A2F">
      <w:pPr>
        <w:pStyle w:val="ListParagraph"/>
        <w:numPr>
          <w:ilvl w:val="0"/>
          <w:numId w:val="4"/>
        </w:numPr>
        <w:spacing w:after="0"/>
        <w:rPr>
          <w:b/>
          <w:sz w:val="24"/>
          <w:szCs w:val="24"/>
        </w:rPr>
      </w:pPr>
      <w:r>
        <w:rPr>
          <w:b/>
          <w:sz w:val="24"/>
          <w:szCs w:val="24"/>
        </w:rPr>
        <w:t xml:space="preserve">8 U.S.C. </w:t>
      </w:r>
      <w:r>
        <w:rPr>
          <w:rFonts w:cstheme="minorHAnsi"/>
          <w:b/>
          <w:sz w:val="24"/>
          <w:szCs w:val="24"/>
        </w:rPr>
        <w:t>§1103(a</w:t>
      </w:r>
      <w:proofErr w:type="gramStart"/>
      <w:r>
        <w:rPr>
          <w:rFonts w:cstheme="minorHAnsi"/>
          <w:b/>
          <w:sz w:val="24"/>
          <w:szCs w:val="24"/>
        </w:rPr>
        <w:t>)(</w:t>
      </w:r>
      <w:proofErr w:type="gramEnd"/>
      <w:r>
        <w:rPr>
          <w:rFonts w:cstheme="minorHAnsi"/>
          <w:b/>
          <w:sz w:val="24"/>
          <w:szCs w:val="24"/>
        </w:rPr>
        <w:t>1):</w:t>
      </w:r>
      <w:r>
        <w:rPr>
          <w:rFonts w:cstheme="minorHAnsi"/>
          <w:sz w:val="24"/>
          <w:szCs w:val="24"/>
        </w:rPr>
        <w:t xml:space="preserve"> AG can make determinations and rulings with respect to </w:t>
      </w:r>
      <w:proofErr w:type="spellStart"/>
      <w:r>
        <w:rPr>
          <w:rFonts w:cstheme="minorHAnsi"/>
          <w:sz w:val="24"/>
          <w:szCs w:val="24"/>
        </w:rPr>
        <w:t>imm</w:t>
      </w:r>
      <w:proofErr w:type="spellEnd"/>
      <w:r>
        <w:rPr>
          <w:rFonts w:cstheme="minorHAnsi"/>
          <w:sz w:val="24"/>
          <w:szCs w:val="24"/>
        </w:rPr>
        <w:t xml:space="preserve">. </w:t>
      </w:r>
      <w:proofErr w:type="gramStart"/>
      <w:r>
        <w:rPr>
          <w:rFonts w:cstheme="minorHAnsi"/>
          <w:sz w:val="24"/>
          <w:szCs w:val="24"/>
        </w:rPr>
        <w:t>law</w:t>
      </w:r>
      <w:proofErr w:type="gramEnd"/>
      <w:r>
        <w:rPr>
          <w:rFonts w:cstheme="minorHAnsi"/>
          <w:sz w:val="24"/>
          <w:szCs w:val="24"/>
        </w:rPr>
        <w:t>.</w:t>
      </w:r>
    </w:p>
    <w:p w:rsidR="00FA447D" w:rsidRPr="00421A36" w:rsidRDefault="00FA447D" w:rsidP="009F6A2F">
      <w:pPr>
        <w:pStyle w:val="ListParagraph"/>
        <w:numPr>
          <w:ilvl w:val="0"/>
          <w:numId w:val="4"/>
        </w:numPr>
        <w:spacing w:after="0"/>
        <w:rPr>
          <w:b/>
          <w:sz w:val="24"/>
          <w:szCs w:val="24"/>
        </w:rPr>
      </w:pPr>
      <w:r>
        <w:rPr>
          <w:b/>
          <w:sz w:val="24"/>
          <w:szCs w:val="24"/>
        </w:rPr>
        <w:t xml:space="preserve">8 C.F.R. </w:t>
      </w:r>
      <w:r>
        <w:rPr>
          <w:rFonts w:cstheme="minorHAnsi"/>
          <w:b/>
          <w:sz w:val="24"/>
          <w:szCs w:val="24"/>
        </w:rPr>
        <w:t>§§103.1(g)-(h</w:t>
      </w:r>
      <w:proofErr w:type="gramStart"/>
      <w:r>
        <w:rPr>
          <w:rFonts w:cstheme="minorHAnsi"/>
          <w:b/>
          <w:sz w:val="24"/>
          <w:szCs w:val="24"/>
        </w:rPr>
        <w:t>)(</w:t>
      </w:r>
      <w:proofErr w:type="gramEnd"/>
      <w:r>
        <w:rPr>
          <w:rFonts w:cstheme="minorHAnsi"/>
          <w:b/>
          <w:sz w:val="24"/>
          <w:szCs w:val="24"/>
        </w:rPr>
        <w:t>1)(ii):</w:t>
      </w:r>
      <w:r>
        <w:rPr>
          <w:rFonts w:cstheme="minorHAnsi"/>
          <w:sz w:val="24"/>
          <w:szCs w:val="24"/>
        </w:rPr>
        <w:t xml:space="preserve"> AG can certify cases for his review &amp; issue precedential decisions.</w:t>
      </w:r>
    </w:p>
    <w:p w:rsidR="00421A36" w:rsidRPr="00474ABE" w:rsidRDefault="00421A36" w:rsidP="009F6A2F">
      <w:pPr>
        <w:pStyle w:val="ListParagraph"/>
        <w:numPr>
          <w:ilvl w:val="0"/>
          <w:numId w:val="4"/>
        </w:numPr>
        <w:spacing w:after="0"/>
        <w:rPr>
          <w:b/>
          <w:sz w:val="24"/>
          <w:szCs w:val="24"/>
        </w:rPr>
      </w:pPr>
      <w:r>
        <w:rPr>
          <w:b/>
          <w:sz w:val="24"/>
          <w:szCs w:val="24"/>
        </w:rPr>
        <w:t xml:space="preserve">8 C.F.R. </w:t>
      </w:r>
      <w:r>
        <w:rPr>
          <w:rFonts w:cstheme="minorHAnsi"/>
          <w:b/>
          <w:sz w:val="24"/>
          <w:szCs w:val="24"/>
        </w:rPr>
        <w:t>§208.30(d):</w:t>
      </w:r>
      <w:r>
        <w:rPr>
          <w:rFonts w:cstheme="minorHAnsi"/>
          <w:sz w:val="24"/>
          <w:szCs w:val="24"/>
        </w:rPr>
        <w:t xml:space="preserve"> guidelines for USCIS asylum interview</w:t>
      </w:r>
    </w:p>
    <w:p w:rsidR="00474ABE" w:rsidRPr="00FA447D" w:rsidRDefault="00474ABE" w:rsidP="009F6A2F">
      <w:pPr>
        <w:pStyle w:val="ListParagraph"/>
        <w:numPr>
          <w:ilvl w:val="0"/>
          <w:numId w:val="4"/>
        </w:numPr>
        <w:spacing w:after="0"/>
        <w:rPr>
          <w:b/>
          <w:sz w:val="24"/>
          <w:szCs w:val="24"/>
        </w:rPr>
      </w:pPr>
      <w:r>
        <w:rPr>
          <w:b/>
          <w:sz w:val="24"/>
          <w:szCs w:val="24"/>
        </w:rPr>
        <w:t xml:space="preserve">5 U.S.C. </w:t>
      </w:r>
      <w:r>
        <w:rPr>
          <w:rFonts w:cstheme="minorHAnsi"/>
          <w:b/>
          <w:sz w:val="24"/>
          <w:szCs w:val="24"/>
        </w:rPr>
        <w:t>§706(2</w:t>
      </w:r>
      <w:proofErr w:type="gramStart"/>
      <w:r>
        <w:rPr>
          <w:rFonts w:cstheme="minorHAnsi"/>
          <w:b/>
          <w:sz w:val="24"/>
          <w:szCs w:val="24"/>
        </w:rPr>
        <w:t>)(</w:t>
      </w:r>
      <w:proofErr w:type="gramEnd"/>
      <w:r>
        <w:rPr>
          <w:rFonts w:cstheme="minorHAnsi"/>
          <w:b/>
          <w:sz w:val="24"/>
          <w:szCs w:val="24"/>
        </w:rPr>
        <w:t>a):</w:t>
      </w:r>
      <w:r>
        <w:rPr>
          <w:rFonts w:cstheme="minorHAnsi"/>
          <w:sz w:val="24"/>
          <w:szCs w:val="24"/>
        </w:rPr>
        <w:t xml:space="preserve"> APA standard of review—agency action must not be “arbitrary, capricious, an abuse of discretion, or otherwise not in accordance with law.”</w:t>
      </w:r>
    </w:p>
    <w:p w:rsidR="00FA447D" w:rsidRPr="009F6A2F" w:rsidRDefault="00FA447D" w:rsidP="009F6A2F">
      <w:pPr>
        <w:pStyle w:val="ListParagraph"/>
        <w:numPr>
          <w:ilvl w:val="0"/>
          <w:numId w:val="4"/>
        </w:numPr>
        <w:spacing w:after="0"/>
        <w:rPr>
          <w:b/>
          <w:sz w:val="24"/>
          <w:szCs w:val="24"/>
        </w:rPr>
      </w:pPr>
      <w:r>
        <w:rPr>
          <w:b/>
          <w:i/>
          <w:sz w:val="24"/>
          <w:szCs w:val="24"/>
        </w:rPr>
        <w:t>Matter of A-R-C-G-</w:t>
      </w:r>
      <w:r>
        <w:rPr>
          <w:b/>
          <w:sz w:val="24"/>
          <w:szCs w:val="24"/>
        </w:rPr>
        <w:t>, 27 I&amp;N Dec. 388 (BIA 2014):</w:t>
      </w:r>
      <w:r>
        <w:rPr>
          <w:sz w:val="24"/>
          <w:szCs w:val="24"/>
        </w:rPr>
        <w:t xml:space="preserve"> BIA recognized “married women in Guatemala who are unable to leave their relationship” = PSG.</w:t>
      </w:r>
    </w:p>
    <w:p w:rsidR="009F6A2F" w:rsidRPr="00B33309" w:rsidRDefault="009F6A2F" w:rsidP="009F6A2F">
      <w:pPr>
        <w:pStyle w:val="ListParagraph"/>
        <w:numPr>
          <w:ilvl w:val="0"/>
          <w:numId w:val="4"/>
        </w:numPr>
        <w:spacing w:after="0"/>
        <w:rPr>
          <w:b/>
          <w:sz w:val="24"/>
          <w:szCs w:val="24"/>
        </w:rPr>
      </w:pPr>
      <w:r>
        <w:rPr>
          <w:b/>
          <w:i/>
          <w:sz w:val="24"/>
          <w:szCs w:val="24"/>
        </w:rPr>
        <w:t>Matter of A-B-</w:t>
      </w:r>
      <w:r>
        <w:rPr>
          <w:b/>
          <w:sz w:val="24"/>
          <w:szCs w:val="24"/>
        </w:rPr>
        <w:t>, 27 I&amp;N Dec. 316 (A.G. 2018):</w:t>
      </w:r>
      <w:r>
        <w:rPr>
          <w:sz w:val="24"/>
          <w:szCs w:val="24"/>
        </w:rPr>
        <w:t xml:space="preserve"> recent precedential standards set forth by A.G. Sessions re. </w:t>
      </w:r>
      <w:proofErr w:type="gramStart"/>
      <w:r>
        <w:rPr>
          <w:sz w:val="24"/>
          <w:szCs w:val="24"/>
        </w:rPr>
        <w:t>credible</w:t>
      </w:r>
      <w:proofErr w:type="gramEnd"/>
      <w:r>
        <w:rPr>
          <w:sz w:val="24"/>
          <w:szCs w:val="24"/>
        </w:rPr>
        <w:t xml:space="preserve"> fear determinations</w:t>
      </w:r>
      <w:r w:rsidR="00FA447D">
        <w:rPr>
          <w:sz w:val="24"/>
          <w:szCs w:val="24"/>
        </w:rPr>
        <w:t xml:space="preserve">: overruled </w:t>
      </w:r>
      <w:r w:rsidR="00FA447D">
        <w:rPr>
          <w:i/>
          <w:sz w:val="24"/>
          <w:szCs w:val="24"/>
        </w:rPr>
        <w:t>Matter of A-R-C-G-</w:t>
      </w:r>
      <w:r w:rsidR="00FA447D">
        <w:rPr>
          <w:sz w:val="24"/>
          <w:szCs w:val="24"/>
        </w:rPr>
        <w:t>; “generally, claims by aliens pertaining to domestic violence or gang violence perpetrated by non-governmental actors will not qualify for asylum” (320) or satisfy the burden for credible fear. Also: lack of particularity for PSGs vulnerable to private criminal activity (seems to include EVERYBODY).</w:t>
      </w:r>
    </w:p>
    <w:p w:rsidR="00B33309" w:rsidRPr="00E85CA4" w:rsidRDefault="00B33309" w:rsidP="009F6A2F">
      <w:pPr>
        <w:pStyle w:val="ListParagraph"/>
        <w:numPr>
          <w:ilvl w:val="0"/>
          <w:numId w:val="4"/>
        </w:numPr>
        <w:spacing w:after="0"/>
        <w:rPr>
          <w:b/>
          <w:sz w:val="24"/>
          <w:szCs w:val="24"/>
        </w:rPr>
      </w:pPr>
      <w:r>
        <w:rPr>
          <w:b/>
          <w:i/>
          <w:sz w:val="24"/>
          <w:szCs w:val="24"/>
        </w:rPr>
        <w:t>Matter of M-E-V-G-</w:t>
      </w:r>
      <w:r>
        <w:rPr>
          <w:b/>
          <w:sz w:val="24"/>
          <w:szCs w:val="24"/>
        </w:rPr>
        <w:t>, 26 I&amp;N Dec. 227, 242 (BIA 2014):</w:t>
      </w:r>
      <w:r>
        <w:rPr>
          <w:sz w:val="24"/>
          <w:szCs w:val="24"/>
        </w:rPr>
        <w:t xml:space="preserve"> formulation of the anti-circularity rule—PSG can’t be defined exclusively by persecution</w:t>
      </w:r>
      <w:r w:rsidR="0021316F">
        <w:rPr>
          <w:sz w:val="24"/>
          <w:szCs w:val="24"/>
        </w:rPr>
        <w:t>; however, it may be the persecution that brings to light the PSG.</w:t>
      </w:r>
    </w:p>
    <w:p w:rsidR="00E85CA4" w:rsidRPr="00E85CA4" w:rsidRDefault="00E85CA4" w:rsidP="009F6A2F">
      <w:pPr>
        <w:pStyle w:val="ListParagraph"/>
        <w:numPr>
          <w:ilvl w:val="0"/>
          <w:numId w:val="4"/>
        </w:numPr>
        <w:spacing w:after="0"/>
        <w:rPr>
          <w:b/>
          <w:sz w:val="24"/>
          <w:szCs w:val="24"/>
        </w:rPr>
      </w:pPr>
      <w:proofErr w:type="spellStart"/>
      <w:r>
        <w:rPr>
          <w:b/>
          <w:i/>
          <w:sz w:val="24"/>
          <w:szCs w:val="24"/>
        </w:rPr>
        <w:t>Cardoza</w:t>
      </w:r>
      <w:proofErr w:type="spellEnd"/>
      <w:r>
        <w:rPr>
          <w:b/>
          <w:i/>
          <w:sz w:val="24"/>
          <w:szCs w:val="24"/>
        </w:rPr>
        <w:t>-Fonseca</w:t>
      </w:r>
      <w:r>
        <w:rPr>
          <w:b/>
          <w:sz w:val="24"/>
          <w:szCs w:val="24"/>
        </w:rPr>
        <w:t>, 480 U.S. 421 (1987):</w:t>
      </w:r>
      <w:r>
        <w:rPr>
          <w:sz w:val="24"/>
          <w:szCs w:val="24"/>
        </w:rPr>
        <w:t xml:space="preserve"> What qualifies a person for asylum is persecution or well-founded fear of it (at 428).</w:t>
      </w:r>
    </w:p>
    <w:p w:rsidR="00E85CA4" w:rsidRPr="00484CDA" w:rsidRDefault="00E85CA4" w:rsidP="009F6A2F">
      <w:pPr>
        <w:pStyle w:val="ListParagraph"/>
        <w:numPr>
          <w:ilvl w:val="0"/>
          <w:numId w:val="4"/>
        </w:numPr>
        <w:spacing w:after="0"/>
        <w:rPr>
          <w:b/>
          <w:sz w:val="24"/>
          <w:szCs w:val="24"/>
        </w:rPr>
      </w:pPr>
      <w:r>
        <w:rPr>
          <w:b/>
          <w:i/>
          <w:sz w:val="24"/>
          <w:szCs w:val="24"/>
        </w:rPr>
        <w:t>Matter of Acosta</w:t>
      </w:r>
      <w:r>
        <w:rPr>
          <w:b/>
          <w:sz w:val="24"/>
          <w:szCs w:val="24"/>
        </w:rPr>
        <w:t>, 19 I&amp;N Dec. 211 (BIA 1985):</w:t>
      </w:r>
      <w:r>
        <w:rPr>
          <w:sz w:val="24"/>
          <w:szCs w:val="24"/>
        </w:rPr>
        <w:t xml:space="preserve"> “an alien fearing harm by non-governmental actors is eligible for asylum if the other criteria are met, and the government is ‘unable or unwilling to control’ the persecutor.” (7)</w:t>
      </w:r>
    </w:p>
    <w:p w:rsidR="00484CDA" w:rsidRPr="00B965A3" w:rsidRDefault="00484CDA" w:rsidP="009F6A2F">
      <w:pPr>
        <w:pStyle w:val="ListParagraph"/>
        <w:numPr>
          <w:ilvl w:val="0"/>
          <w:numId w:val="4"/>
        </w:numPr>
        <w:spacing w:after="0"/>
        <w:rPr>
          <w:b/>
          <w:sz w:val="24"/>
          <w:szCs w:val="24"/>
        </w:rPr>
      </w:pPr>
      <w:r>
        <w:rPr>
          <w:b/>
          <w:sz w:val="24"/>
          <w:szCs w:val="24"/>
        </w:rPr>
        <w:t>USCIS Policy Memorandum:</w:t>
      </w:r>
      <w:r>
        <w:rPr>
          <w:sz w:val="24"/>
          <w:szCs w:val="24"/>
        </w:rPr>
        <w:t xml:space="preserve"> Issued in light of </w:t>
      </w:r>
      <w:r>
        <w:rPr>
          <w:i/>
          <w:sz w:val="24"/>
          <w:szCs w:val="24"/>
        </w:rPr>
        <w:t>Matter of A-B-</w:t>
      </w:r>
      <w:r>
        <w:rPr>
          <w:sz w:val="24"/>
          <w:szCs w:val="24"/>
        </w:rPr>
        <w:t xml:space="preserve"> as guidance for processing reasonable fear, credible fear, asylum &amp; refugee claims.</w:t>
      </w:r>
    </w:p>
    <w:p w:rsidR="00B965A3" w:rsidRPr="001C63B4" w:rsidRDefault="00B965A3" w:rsidP="009F6A2F">
      <w:pPr>
        <w:pStyle w:val="ListParagraph"/>
        <w:numPr>
          <w:ilvl w:val="0"/>
          <w:numId w:val="4"/>
        </w:numPr>
        <w:spacing w:after="0"/>
        <w:rPr>
          <w:b/>
          <w:sz w:val="24"/>
          <w:szCs w:val="24"/>
        </w:rPr>
      </w:pPr>
      <w:proofErr w:type="spellStart"/>
      <w:r>
        <w:rPr>
          <w:b/>
          <w:i/>
          <w:sz w:val="24"/>
          <w:szCs w:val="24"/>
        </w:rPr>
        <w:t>Moncada</w:t>
      </w:r>
      <w:proofErr w:type="spellEnd"/>
      <w:r>
        <w:rPr>
          <w:b/>
          <w:i/>
          <w:sz w:val="24"/>
          <w:szCs w:val="24"/>
        </w:rPr>
        <w:t xml:space="preserve"> v. Sessions</w:t>
      </w:r>
      <w:r>
        <w:rPr>
          <w:b/>
          <w:sz w:val="24"/>
          <w:szCs w:val="24"/>
        </w:rPr>
        <w:t>, 2018 WL 4847073 *2 (2d Cir. Oct. 5, 2018):</w:t>
      </w:r>
      <w:r>
        <w:rPr>
          <w:sz w:val="24"/>
          <w:szCs w:val="24"/>
        </w:rPr>
        <w:t xml:space="preserve"> </w:t>
      </w:r>
      <w:r>
        <w:rPr>
          <w:i/>
          <w:sz w:val="24"/>
          <w:szCs w:val="24"/>
        </w:rPr>
        <w:t>Matter of A-B-</w:t>
      </w:r>
      <w:r>
        <w:rPr>
          <w:sz w:val="24"/>
          <w:szCs w:val="24"/>
        </w:rPr>
        <w:t xml:space="preserve"> provided “substantial new guidance” re. DV/gang asylum claims.</w:t>
      </w:r>
    </w:p>
    <w:p w:rsidR="001C63B4" w:rsidRPr="00DF0BBC" w:rsidRDefault="001C63B4" w:rsidP="009F6A2F">
      <w:pPr>
        <w:pStyle w:val="ListParagraph"/>
        <w:numPr>
          <w:ilvl w:val="0"/>
          <w:numId w:val="4"/>
        </w:numPr>
        <w:spacing w:after="0"/>
        <w:rPr>
          <w:b/>
          <w:sz w:val="24"/>
          <w:szCs w:val="24"/>
        </w:rPr>
      </w:pPr>
      <w:r>
        <w:rPr>
          <w:b/>
          <w:i/>
          <w:sz w:val="24"/>
          <w:szCs w:val="24"/>
        </w:rPr>
        <w:t xml:space="preserve">Carpenters Indus. Council v. </w:t>
      </w:r>
      <w:proofErr w:type="spellStart"/>
      <w:r>
        <w:rPr>
          <w:b/>
          <w:i/>
          <w:sz w:val="24"/>
          <w:szCs w:val="24"/>
        </w:rPr>
        <w:t>Zinke</w:t>
      </w:r>
      <w:proofErr w:type="spellEnd"/>
      <w:r>
        <w:rPr>
          <w:b/>
          <w:sz w:val="24"/>
          <w:szCs w:val="24"/>
        </w:rPr>
        <w:t xml:space="preserve">, 854 F.3d 1, </w:t>
      </w:r>
      <w:proofErr w:type="gramStart"/>
      <w:r>
        <w:rPr>
          <w:b/>
          <w:sz w:val="24"/>
          <w:szCs w:val="24"/>
        </w:rPr>
        <w:t>6 n.1 (D.C. Cir. 2017)</w:t>
      </w:r>
      <w:proofErr w:type="gramEnd"/>
      <w:r>
        <w:rPr>
          <w:b/>
          <w:sz w:val="24"/>
          <w:szCs w:val="24"/>
        </w:rPr>
        <w:t xml:space="preserve">: </w:t>
      </w:r>
      <w:r>
        <w:rPr>
          <w:sz w:val="24"/>
          <w:szCs w:val="24"/>
        </w:rPr>
        <w:t xml:space="preserve">“stating when </w:t>
      </w:r>
      <w:proofErr w:type="spellStart"/>
      <w:r>
        <w:rPr>
          <w:sz w:val="24"/>
          <w:szCs w:val="24"/>
        </w:rPr>
        <w:t>gov’t</w:t>
      </w:r>
      <w:proofErr w:type="spellEnd"/>
      <w:r>
        <w:rPr>
          <w:sz w:val="24"/>
          <w:szCs w:val="24"/>
        </w:rPr>
        <w:t xml:space="preserve"> actions cause an injury, enjoining that action will usually redress the injury” (40).</w:t>
      </w:r>
    </w:p>
    <w:p w:rsidR="00DF0BBC" w:rsidRPr="000C4CE3" w:rsidRDefault="00DF0BBC" w:rsidP="009F6A2F">
      <w:pPr>
        <w:pStyle w:val="ListParagraph"/>
        <w:numPr>
          <w:ilvl w:val="0"/>
          <w:numId w:val="4"/>
        </w:numPr>
        <w:spacing w:after="0"/>
        <w:rPr>
          <w:b/>
          <w:sz w:val="24"/>
          <w:szCs w:val="24"/>
        </w:rPr>
      </w:pPr>
      <w:proofErr w:type="spellStart"/>
      <w:r>
        <w:rPr>
          <w:b/>
          <w:i/>
          <w:sz w:val="24"/>
          <w:szCs w:val="24"/>
        </w:rPr>
        <w:t>Cheveron</w:t>
      </w:r>
      <w:proofErr w:type="spellEnd"/>
      <w:r>
        <w:rPr>
          <w:b/>
          <w:i/>
          <w:sz w:val="24"/>
          <w:szCs w:val="24"/>
        </w:rPr>
        <w:t xml:space="preserve"> USA, Inc. v. Natural resources Defense Council, Inc.</w:t>
      </w:r>
      <w:r>
        <w:rPr>
          <w:b/>
          <w:sz w:val="24"/>
          <w:szCs w:val="24"/>
        </w:rPr>
        <w:t>, 467 U.S. 837 (1984):</w:t>
      </w:r>
      <w:r>
        <w:rPr>
          <w:sz w:val="24"/>
          <w:szCs w:val="24"/>
        </w:rPr>
        <w:t xml:space="preserve"> two-prong test for statutory interpretation: (1) was Congress clear, or is the statute ambiguous? (2) If clear, cool; if unclear, defer to the Agency’s interpretation of the statute if it is a permissible construction of it.</w:t>
      </w:r>
    </w:p>
    <w:p w:rsidR="000C4CE3" w:rsidRPr="000C4CE3" w:rsidRDefault="000C4CE3" w:rsidP="009F6A2F">
      <w:pPr>
        <w:pStyle w:val="ListParagraph"/>
        <w:numPr>
          <w:ilvl w:val="0"/>
          <w:numId w:val="4"/>
        </w:numPr>
        <w:spacing w:after="0"/>
        <w:rPr>
          <w:b/>
          <w:sz w:val="24"/>
          <w:szCs w:val="24"/>
        </w:rPr>
      </w:pPr>
      <w:r>
        <w:rPr>
          <w:b/>
          <w:i/>
          <w:sz w:val="24"/>
          <w:szCs w:val="24"/>
        </w:rPr>
        <w:lastRenderedPageBreak/>
        <w:t>Rosales Justo v.</w:t>
      </w:r>
      <w:r>
        <w:rPr>
          <w:b/>
          <w:sz w:val="24"/>
          <w:szCs w:val="24"/>
        </w:rPr>
        <w:t xml:space="preserve"> </w:t>
      </w:r>
      <w:r>
        <w:rPr>
          <w:b/>
          <w:i/>
          <w:sz w:val="24"/>
          <w:szCs w:val="24"/>
        </w:rPr>
        <w:t>Sessions</w:t>
      </w:r>
      <w:r>
        <w:rPr>
          <w:b/>
          <w:sz w:val="24"/>
          <w:szCs w:val="24"/>
        </w:rPr>
        <w:t>, 895 F.3d 154 (1</w:t>
      </w:r>
      <w:r w:rsidRPr="000C4CE3">
        <w:rPr>
          <w:b/>
          <w:sz w:val="24"/>
          <w:szCs w:val="24"/>
          <w:vertAlign w:val="superscript"/>
        </w:rPr>
        <w:t>st</w:t>
      </w:r>
      <w:r>
        <w:rPr>
          <w:b/>
          <w:sz w:val="24"/>
          <w:szCs w:val="24"/>
        </w:rPr>
        <w:t xml:space="preserve"> Cir. 2018):</w:t>
      </w:r>
      <w:r>
        <w:rPr>
          <w:sz w:val="24"/>
          <w:szCs w:val="24"/>
        </w:rPr>
        <w:t xml:space="preserve"> connection between private actor and governmental action/inaction</w:t>
      </w:r>
      <w:r w:rsidR="00060946">
        <w:rPr>
          <w:sz w:val="24"/>
          <w:szCs w:val="24"/>
        </w:rPr>
        <w:t xml:space="preserve">—police were </w:t>
      </w:r>
      <w:r w:rsidR="00060946">
        <w:rPr>
          <w:i/>
          <w:sz w:val="24"/>
          <w:szCs w:val="24"/>
        </w:rPr>
        <w:t>willing</w:t>
      </w:r>
      <w:r w:rsidR="00060946">
        <w:rPr>
          <w:sz w:val="24"/>
          <w:szCs w:val="24"/>
        </w:rPr>
        <w:t xml:space="preserve"> but </w:t>
      </w:r>
      <w:r w:rsidR="00060946">
        <w:rPr>
          <w:i/>
          <w:sz w:val="24"/>
          <w:szCs w:val="24"/>
        </w:rPr>
        <w:t xml:space="preserve">unable </w:t>
      </w:r>
      <w:r w:rsidR="00060946">
        <w:rPr>
          <w:sz w:val="24"/>
          <w:szCs w:val="24"/>
        </w:rPr>
        <w:t>to help petitioner.</w:t>
      </w:r>
    </w:p>
    <w:p w:rsidR="000C4CE3" w:rsidRPr="009F6A2F" w:rsidRDefault="000C4CE3" w:rsidP="009F6A2F">
      <w:pPr>
        <w:pStyle w:val="ListParagraph"/>
        <w:numPr>
          <w:ilvl w:val="0"/>
          <w:numId w:val="4"/>
        </w:numPr>
        <w:spacing w:after="0"/>
        <w:rPr>
          <w:b/>
          <w:sz w:val="24"/>
          <w:szCs w:val="24"/>
        </w:rPr>
      </w:pPr>
      <w:proofErr w:type="spellStart"/>
      <w:r>
        <w:rPr>
          <w:b/>
          <w:i/>
          <w:sz w:val="24"/>
          <w:szCs w:val="24"/>
        </w:rPr>
        <w:t>Burbiene</w:t>
      </w:r>
      <w:proofErr w:type="spellEnd"/>
      <w:r>
        <w:rPr>
          <w:b/>
          <w:i/>
          <w:sz w:val="24"/>
          <w:szCs w:val="24"/>
        </w:rPr>
        <w:t xml:space="preserve"> v. Holder</w:t>
      </w:r>
      <w:r>
        <w:rPr>
          <w:b/>
          <w:sz w:val="24"/>
          <w:szCs w:val="24"/>
        </w:rPr>
        <w:t>, 568 F.3d 251 (1</w:t>
      </w:r>
      <w:r w:rsidRPr="000C4CE3">
        <w:rPr>
          <w:b/>
          <w:sz w:val="24"/>
          <w:szCs w:val="24"/>
          <w:vertAlign w:val="superscript"/>
        </w:rPr>
        <w:t>st</w:t>
      </w:r>
      <w:r>
        <w:rPr>
          <w:b/>
          <w:sz w:val="24"/>
          <w:szCs w:val="24"/>
        </w:rPr>
        <w:t xml:space="preserve"> Cir. 2009):</w:t>
      </w:r>
      <w:r>
        <w:rPr>
          <w:sz w:val="24"/>
          <w:szCs w:val="24"/>
        </w:rPr>
        <w:t xml:space="preserve"> unwilling or unable standard (for </w:t>
      </w:r>
      <w:proofErr w:type="spellStart"/>
      <w:r>
        <w:rPr>
          <w:sz w:val="24"/>
          <w:szCs w:val="24"/>
        </w:rPr>
        <w:t>gov’t</w:t>
      </w:r>
      <w:proofErr w:type="spellEnd"/>
      <w:r>
        <w:rPr>
          <w:sz w:val="24"/>
          <w:szCs w:val="24"/>
        </w:rPr>
        <w:t xml:space="preserve"> intervention in private violence)</w:t>
      </w:r>
    </w:p>
    <w:p w:rsidR="0015215A" w:rsidRDefault="0015215A" w:rsidP="0010547E">
      <w:pPr>
        <w:spacing w:after="0"/>
        <w:rPr>
          <w:b/>
          <w:sz w:val="24"/>
          <w:szCs w:val="24"/>
        </w:rPr>
      </w:pPr>
    </w:p>
    <w:p w:rsidR="009F6A2F" w:rsidRDefault="009F6A2F" w:rsidP="0010547E">
      <w:pPr>
        <w:spacing w:after="0"/>
        <w:rPr>
          <w:sz w:val="24"/>
          <w:szCs w:val="24"/>
        </w:rPr>
      </w:pPr>
      <w:r>
        <w:rPr>
          <w:b/>
          <w:sz w:val="24"/>
          <w:szCs w:val="24"/>
        </w:rPr>
        <w:t>Relevant U.S./Legal History</w:t>
      </w:r>
    </w:p>
    <w:p w:rsidR="008B718E" w:rsidRPr="008B718E" w:rsidRDefault="008B718E" w:rsidP="009F6A2F">
      <w:pPr>
        <w:pStyle w:val="ListParagraph"/>
        <w:numPr>
          <w:ilvl w:val="0"/>
          <w:numId w:val="3"/>
        </w:numPr>
        <w:spacing w:after="0"/>
        <w:rPr>
          <w:sz w:val="24"/>
          <w:szCs w:val="24"/>
        </w:rPr>
      </w:pPr>
      <w:r>
        <w:rPr>
          <w:b/>
          <w:sz w:val="24"/>
          <w:szCs w:val="24"/>
        </w:rPr>
        <w:t>UN Protocol Relating to the Status of Refugees:</w:t>
      </w:r>
      <w:r>
        <w:rPr>
          <w:sz w:val="24"/>
          <w:szCs w:val="24"/>
        </w:rPr>
        <w:t xml:space="preserve"> U.S. has been bound to this since 1968</w:t>
      </w:r>
    </w:p>
    <w:p w:rsidR="009F6A2F" w:rsidRDefault="009F6A2F" w:rsidP="009F6A2F">
      <w:pPr>
        <w:pStyle w:val="ListParagraph"/>
        <w:numPr>
          <w:ilvl w:val="0"/>
          <w:numId w:val="3"/>
        </w:numPr>
        <w:spacing w:after="0"/>
        <w:rPr>
          <w:sz w:val="24"/>
          <w:szCs w:val="24"/>
        </w:rPr>
      </w:pPr>
      <w:r>
        <w:rPr>
          <w:b/>
          <w:sz w:val="24"/>
          <w:szCs w:val="24"/>
        </w:rPr>
        <w:t>Refugee Act</w:t>
      </w:r>
      <w:r w:rsidR="008B718E">
        <w:rPr>
          <w:b/>
          <w:sz w:val="24"/>
          <w:szCs w:val="24"/>
        </w:rPr>
        <w:t>, Pub. L. No. 96-212, 94 Stat. 102</w:t>
      </w:r>
      <w:r>
        <w:rPr>
          <w:b/>
          <w:sz w:val="24"/>
          <w:szCs w:val="24"/>
        </w:rPr>
        <w:t xml:space="preserve"> (1980):</w:t>
      </w:r>
      <w:r>
        <w:rPr>
          <w:sz w:val="24"/>
          <w:szCs w:val="24"/>
        </w:rPr>
        <w:t xml:space="preserve"> </w:t>
      </w:r>
      <w:r w:rsidR="008B718E">
        <w:rPr>
          <w:sz w:val="24"/>
          <w:szCs w:val="24"/>
        </w:rPr>
        <w:t xml:space="preserve">update to immigration laws, </w:t>
      </w:r>
      <w:r>
        <w:rPr>
          <w:sz w:val="24"/>
          <w:szCs w:val="24"/>
        </w:rPr>
        <w:t>protecting those persecuted in their home countries</w:t>
      </w:r>
      <w:r w:rsidR="008B718E">
        <w:rPr>
          <w:sz w:val="24"/>
          <w:szCs w:val="24"/>
        </w:rPr>
        <w:t xml:space="preserve"> </w:t>
      </w:r>
      <w:r w:rsidR="00E85CA4">
        <w:rPr>
          <w:sz w:val="24"/>
          <w:szCs w:val="24"/>
        </w:rPr>
        <w:t>in statutory accordance with</w:t>
      </w:r>
      <w:r w:rsidR="008B718E">
        <w:rPr>
          <w:sz w:val="24"/>
          <w:szCs w:val="24"/>
        </w:rPr>
        <w:t xml:space="preserve"> UN Protocol.</w:t>
      </w:r>
      <w:r w:rsidR="00E85CA4">
        <w:rPr>
          <w:sz w:val="24"/>
          <w:szCs w:val="24"/>
        </w:rPr>
        <w:t xml:space="preserve"> Statutory procedure &amp; standards for asylum requests.</w:t>
      </w:r>
    </w:p>
    <w:p w:rsidR="009F6A2F" w:rsidRDefault="009F6A2F" w:rsidP="009F6A2F">
      <w:pPr>
        <w:pStyle w:val="ListParagraph"/>
        <w:numPr>
          <w:ilvl w:val="0"/>
          <w:numId w:val="3"/>
        </w:numPr>
        <w:spacing w:after="0"/>
        <w:rPr>
          <w:sz w:val="24"/>
          <w:szCs w:val="24"/>
        </w:rPr>
      </w:pPr>
      <w:r>
        <w:rPr>
          <w:b/>
          <w:sz w:val="24"/>
          <w:szCs w:val="24"/>
        </w:rPr>
        <w:t>INA (1996):</w:t>
      </w:r>
      <w:r>
        <w:rPr>
          <w:sz w:val="24"/>
          <w:szCs w:val="24"/>
        </w:rPr>
        <w:t xml:space="preserve"> added expedited removal to immigration laws </w:t>
      </w:r>
      <w:r>
        <w:rPr>
          <w:i/>
          <w:sz w:val="24"/>
          <w:szCs w:val="24"/>
        </w:rPr>
        <w:t>unless alien had a credible fear of persecution by his or her country of origin</w:t>
      </w:r>
      <w:r>
        <w:rPr>
          <w:sz w:val="24"/>
          <w:szCs w:val="24"/>
        </w:rPr>
        <w:t>.</w:t>
      </w:r>
    </w:p>
    <w:p w:rsidR="00421A36" w:rsidRDefault="00421A36" w:rsidP="00421A36">
      <w:pPr>
        <w:pStyle w:val="ListParagraph"/>
        <w:numPr>
          <w:ilvl w:val="1"/>
          <w:numId w:val="3"/>
        </w:numPr>
        <w:spacing w:after="0"/>
        <w:rPr>
          <w:sz w:val="24"/>
          <w:szCs w:val="24"/>
        </w:rPr>
      </w:pPr>
      <w:r>
        <w:rPr>
          <w:sz w:val="24"/>
          <w:szCs w:val="24"/>
        </w:rPr>
        <w:t>“Prior to 1996, every person who sought admission into the U.S. was entitled to a full hearing before an immigration judge, and had a right to administrative and judicial review.” (7)</w:t>
      </w:r>
    </w:p>
    <w:p w:rsidR="00421A36" w:rsidRDefault="00421A36" w:rsidP="00421A36">
      <w:pPr>
        <w:pStyle w:val="ListParagraph"/>
        <w:numPr>
          <w:ilvl w:val="1"/>
          <w:numId w:val="3"/>
        </w:numPr>
        <w:spacing w:after="0"/>
        <w:rPr>
          <w:sz w:val="24"/>
          <w:szCs w:val="24"/>
        </w:rPr>
      </w:pPr>
      <w:r>
        <w:rPr>
          <w:sz w:val="24"/>
          <w:szCs w:val="24"/>
        </w:rPr>
        <w:t>Exception: if alien indicates he or she intends to apply for asylum or has a fear of persecution, the alien MUST get an interview with USCIS officer who is required to interview alien and look into all relevant information.</w:t>
      </w:r>
    </w:p>
    <w:p w:rsidR="00421A36" w:rsidRDefault="00421A36" w:rsidP="00421A36">
      <w:pPr>
        <w:pStyle w:val="ListParagraph"/>
        <w:numPr>
          <w:ilvl w:val="1"/>
          <w:numId w:val="3"/>
        </w:numPr>
        <w:spacing w:after="0"/>
        <w:rPr>
          <w:sz w:val="24"/>
          <w:szCs w:val="24"/>
        </w:rPr>
      </w:pPr>
      <w:r>
        <w:rPr>
          <w:sz w:val="24"/>
          <w:szCs w:val="24"/>
        </w:rPr>
        <w:t>Congress opted for a low screening standard for credible fear determinations (to err on the side of caution, since people might be sent back to be tortured or killed).</w:t>
      </w:r>
    </w:p>
    <w:p w:rsidR="00421A36" w:rsidRDefault="00421A36" w:rsidP="00421A36">
      <w:pPr>
        <w:pStyle w:val="ListParagraph"/>
        <w:numPr>
          <w:ilvl w:val="1"/>
          <w:numId w:val="3"/>
        </w:numPr>
        <w:spacing w:after="0"/>
        <w:rPr>
          <w:sz w:val="24"/>
          <w:szCs w:val="24"/>
        </w:rPr>
      </w:pPr>
      <w:r>
        <w:rPr>
          <w:sz w:val="24"/>
          <w:szCs w:val="24"/>
        </w:rPr>
        <w:t>If a determination is made of credible fear, alien gets to have a standard removal hearing before an immigration judge and can develop a full record with respect to asylum claim. Rights to appeal decision (to BIA, federal court of appeals).</w:t>
      </w:r>
    </w:p>
    <w:p w:rsidR="00421A36" w:rsidRPr="009F6A2F" w:rsidRDefault="00421A36" w:rsidP="00421A36">
      <w:pPr>
        <w:pStyle w:val="ListParagraph"/>
        <w:numPr>
          <w:ilvl w:val="1"/>
          <w:numId w:val="3"/>
        </w:numPr>
        <w:spacing w:after="0"/>
        <w:rPr>
          <w:sz w:val="24"/>
          <w:szCs w:val="24"/>
        </w:rPr>
      </w:pPr>
      <w:r>
        <w:rPr>
          <w:sz w:val="24"/>
          <w:szCs w:val="24"/>
        </w:rPr>
        <w:t>If a negative determination is made, alien may reque</w:t>
      </w:r>
      <w:r w:rsidR="00CA53FB">
        <w:rPr>
          <w:sz w:val="24"/>
          <w:szCs w:val="24"/>
        </w:rPr>
        <w:t>st that it be reviewed by an IJ (but that decision is final and cannot be appealed except in limited circs.).</w:t>
      </w:r>
    </w:p>
    <w:p w:rsidR="009F6A2F" w:rsidRDefault="009F6A2F" w:rsidP="0010547E">
      <w:pPr>
        <w:spacing w:after="0"/>
        <w:rPr>
          <w:b/>
          <w:sz w:val="24"/>
          <w:szCs w:val="24"/>
        </w:rPr>
      </w:pPr>
    </w:p>
    <w:p w:rsidR="0015215A" w:rsidRDefault="0015215A" w:rsidP="0010547E">
      <w:pPr>
        <w:spacing w:after="0"/>
        <w:rPr>
          <w:sz w:val="24"/>
          <w:szCs w:val="24"/>
        </w:rPr>
      </w:pPr>
      <w:r>
        <w:rPr>
          <w:b/>
          <w:sz w:val="24"/>
          <w:szCs w:val="24"/>
        </w:rPr>
        <w:t>Commentary:</w:t>
      </w:r>
    </w:p>
    <w:p w:rsidR="000322B9" w:rsidRDefault="000322B9" w:rsidP="000322B9">
      <w:pPr>
        <w:pStyle w:val="ListParagraph"/>
        <w:numPr>
          <w:ilvl w:val="0"/>
          <w:numId w:val="3"/>
        </w:numPr>
        <w:spacing w:after="0"/>
        <w:rPr>
          <w:sz w:val="24"/>
          <w:szCs w:val="24"/>
        </w:rPr>
      </w:pPr>
      <w:r>
        <w:rPr>
          <w:sz w:val="24"/>
          <w:szCs w:val="24"/>
        </w:rPr>
        <w:t>Plaintiffs moved to submit extra-record evidence that implicated the government in creating new and inappropriate credible fear policies. The government wanted to strike these exhibits according to Administrative Procedure Act rules (no extra evidence may be admitted for judicial review—except in cases where decisions have been made egregiously).</w:t>
      </w:r>
    </w:p>
    <w:p w:rsidR="000322B9" w:rsidRDefault="000322B9" w:rsidP="000322B9">
      <w:pPr>
        <w:pStyle w:val="ListParagraph"/>
        <w:numPr>
          <w:ilvl w:val="1"/>
          <w:numId w:val="3"/>
        </w:numPr>
        <w:spacing w:after="0"/>
        <w:rPr>
          <w:sz w:val="24"/>
          <w:szCs w:val="24"/>
        </w:rPr>
      </w:pPr>
      <w:r>
        <w:rPr>
          <w:sz w:val="24"/>
          <w:szCs w:val="24"/>
        </w:rPr>
        <w:t xml:space="preserve">Okay to include stuff that </w:t>
      </w:r>
      <w:proofErr w:type="spellStart"/>
      <w:r>
        <w:rPr>
          <w:sz w:val="24"/>
          <w:szCs w:val="24"/>
        </w:rPr>
        <w:t>gov’t</w:t>
      </w:r>
      <w:proofErr w:type="spellEnd"/>
      <w:r>
        <w:rPr>
          <w:sz w:val="24"/>
          <w:szCs w:val="24"/>
        </w:rPr>
        <w:t xml:space="preserve"> is </w:t>
      </w:r>
      <w:r w:rsidR="00922D78">
        <w:rPr>
          <w:sz w:val="24"/>
          <w:szCs w:val="24"/>
        </w:rPr>
        <w:t>deliberately suppressing adverse documents;</w:t>
      </w:r>
    </w:p>
    <w:p w:rsidR="00922D78" w:rsidRDefault="00922D78" w:rsidP="00922D78">
      <w:pPr>
        <w:pStyle w:val="ListParagraph"/>
        <w:numPr>
          <w:ilvl w:val="1"/>
          <w:numId w:val="3"/>
        </w:numPr>
        <w:spacing w:after="0"/>
        <w:rPr>
          <w:sz w:val="24"/>
          <w:szCs w:val="24"/>
        </w:rPr>
      </w:pPr>
      <w:r>
        <w:rPr>
          <w:sz w:val="24"/>
          <w:szCs w:val="24"/>
        </w:rPr>
        <w:t>If background info is needed to check on agency’s evaluation of the relevant factors;</w:t>
      </w:r>
    </w:p>
    <w:p w:rsidR="00922D78" w:rsidRDefault="00922D78" w:rsidP="00922D78">
      <w:pPr>
        <w:pStyle w:val="ListParagraph"/>
        <w:numPr>
          <w:ilvl w:val="1"/>
          <w:numId w:val="3"/>
        </w:numPr>
        <w:spacing w:after="0"/>
        <w:rPr>
          <w:sz w:val="24"/>
          <w:szCs w:val="24"/>
        </w:rPr>
      </w:pPr>
      <w:r>
        <w:rPr>
          <w:sz w:val="24"/>
          <w:szCs w:val="24"/>
        </w:rPr>
        <w:t>If agency tried to frustrate judicial review.</w:t>
      </w:r>
    </w:p>
    <w:p w:rsidR="00B965A3" w:rsidRDefault="00B965A3" w:rsidP="00B965A3">
      <w:pPr>
        <w:pStyle w:val="ListParagraph"/>
        <w:spacing w:after="0"/>
        <w:ind w:left="1440"/>
        <w:rPr>
          <w:sz w:val="24"/>
          <w:szCs w:val="24"/>
        </w:rPr>
      </w:pPr>
    </w:p>
    <w:p w:rsidR="00B965A3" w:rsidRDefault="00B965A3" w:rsidP="00B965A3">
      <w:pPr>
        <w:pStyle w:val="ListParagraph"/>
        <w:numPr>
          <w:ilvl w:val="0"/>
          <w:numId w:val="3"/>
        </w:numPr>
        <w:spacing w:after="0"/>
        <w:rPr>
          <w:sz w:val="24"/>
          <w:szCs w:val="24"/>
        </w:rPr>
      </w:pPr>
      <w:r>
        <w:rPr>
          <w:sz w:val="24"/>
          <w:szCs w:val="24"/>
        </w:rPr>
        <w:t>“</w:t>
      </w:r>
      <w:proofErr w:type="gramStart"/>
      <w:r>
        <w:rPr>
          <w:sz w:val="24"/>
          <w:szCs w:val="24"/>
        </w:rPr>
        <w:t>there</w:t>
      </w:r>
      <w:proofErr w:type="gramEnd"/>
      <w:r>
        <w:rPr>
          <w:sz w:val="24"/>
          <w:szCs w:val="24"/>
        </w:rPr>
        <w:t xml:space="preserve"> is…a ‘strong presumption in favor of judicial review of administrative action.’” (quoting stuff, p.34)</w:t>
      </w:r>
    </w:p>
    <w:p w:rsidR="00B965A3" w:rsidRDefault="00B965A3" w:rsidP="00B965A3">
      <w:pPr>
        <w:pStyle w:val="ListParagraph"/>
        <w:numPr>
          <w:ilvl w:val="0"/>
          <w:numId w:val="3"/>
        </w:numPr>
        <w:spacing w:after="0"/>
        <w:rPr>
          <w:sz w:val="24"/>
          <w:szCs w:val="24"/>
        </w:rPr>
      </w:pPr>
      <w:r>
        <w:rPr>
          <w:sz w:val="24"/>
          <w:szCs w:val="24"/>
        </w:rPr>
        <w:t>“Statutory ambiguities in immigration laws are resolved in favor of the alien.” (34)</w:t>
      </w:r>
    </w:p>
    <w:p w:rsidR="001C63B4" w:rsidRDefault="001C63B4" w:rsidP="00B965A3">
      <w:pPr>
        <w:pStyle w:val="ListParagraph"/>
        <w:numPr>
          <w:ilvl w:val="0"/>
          <w:numId w:val="3"/>
        </w:numPr>
        <w:spacing w:after="0"/>
        <w:rPr>
          <w:sz w:val="24"/>
          <w:szCs w:val="24"/>
        </w:rPr>
      </w:pPr>
      <w:proofErr w:type="spellStart"/>
      <w:r>
        <w:rPr>
          <w:sz w:val="24"/>
          <w:szCs w:val="24"/>
        </w:rPr>
        <w:t>Gov’t</w:t>
      </w:r>
      <w:proofErr w:type="spellEnd"/>
      <w:r>
        <w:rPr>
          <w:sz w:val="24"/>
          <w:szCs w:val="24"/>
        </w:rPr>
        <w:t xml:space="preserve"> argument: the policies aren’t new, so they’re older than the “sixty days” during which they can be challenged.</w:t>
      </w:r>
    </w:p>
    <w:p w:rsidR="001C63B4" w:rsidRDefault="001C63B4" w:rsidP="001C63B4">
      <w:pPr>
        <w:pStyle w:val="ListParagraph"/>
        <w:numPr>
          <w:ilvl w:val="1"/>
          <w:numId w:val="3"/>
        </w:numPr>
        <w:spacing w:after="0"/>
        <w:rPr>
          <w:sz w:val="24"/>
          <w:szCs w:val="24"/>
        </w:rPr>
      </w:pPr>
      <w:r>
        <w:rPr>
          <w:sz w:val="24"/>
          <w:szCs w:val="24"/>
        </w:rPr>
        <w:lastRenderedPageBreak/>
        <w:t xml:space="preserve">The </w:t>
      </w:r>
      <w:proofErr w:type="spellStart"/>
      <w:r>
        <w:rPr>
          <w:sz w:val="24"/>
          <w:szCs w:val="24"/>
        </w:rPr>
        <w:t>gov’t’s</w:t>
      </w:r>
      <w:proofErr w:type="spellEnd"/>
      <w:r>
        <w:rPr>
          <w:sz w:val="24"/>
          <w:szCs w:val="24"/>
        </w:rPr>
        <w:t xml:space="preserve"> argument “assumes that its view on the merits of the case will prevail.” (40) (Can’t get to the merits yet—still working on the initial motions.)</w:t>
      </w:r>
    </w:p>
    <w:p w:rsidR="00474ABE" w:rsidRDefault="00474ABE" w:rsidP="00474ABE">
      <w:pPr>
        <w:pStyle w:val="ListParagraph"/>
        <w:numPr>
          <w:ilvl w:val="0"/>
          <w:numId w:val="3"/>
        </w:numPr>
        <w:spacing w:after="0"/>
        <w:rPr>
          <w:sz w:val="24"/>
          <w:szCs w:val="24"/>
        </w:rPr>
      </w:pPr>
      <w:r>
        <w:rPr>
          <w:sz w:val="24"/>
          <w:szCs w:val="24"/>
        </w:rPr>
        <w:t xml:space="preserve">Re. review of agency </w:t>
      </w:r>
      <w:proofErr w:type="spellStart"/>
      <w:r>
        <w:rPr>
          <w:sz w:val="24"/>
          <w:szCs w:val="24"/>
        </w:rPr>
        <w:t>decisionmaking</w:t>
      </w:r>
      <w:proofErr w:type="spellEnd"/>
      <w:r>
        <w:rPr>
          <w:sz w:val="24"/>
          <w:szCs w:val="24"/>
        </w:rPr>
        <w:t xml:space="preserve">: “A court must not uphold an adjudicatory action when the agency’s judgment ‘was neither adequately explained in its decision nor supported by agency precedent.’ Thus, review of </w:t>
      </w:r>
      <w:r>
        <w:rPr>
          <w:i/>
          <w:sz w:val="24"/>
          <w:szCs w:val="24"/>
        </w:rPr>
        <w:t>Matter of A-B-</w:t>
      </w:r>
      <w:r>
        <w:rPr>
          <w:sz w:val="24"/>
          <w:szCs w:val="24"/>
        </w:rPr>
        <w:t xml:space="preserve"> requires this Court to determine whether the decision was the product of reasoned </w:t>
      </w:r>
      <w:proofErr w:type="spellStart"/>
      <w:r>
        <w:rPr>
          <w:sz w:val="24"/>
          <w:szCs w:val="24"/>
        </w:rPr>
        <w:t>decisionmaking</w:t>
      </w:r>
      <w:proofErr w:type="spellEnd"/>
      <w:r>
        <w:rPr>
          <w:sz w:val="24"/>
          <w:szCs w:val="24"/>
        </w:rPr>
        <w:t>.” (quoting stuff 43)</w:t>
      </w:r>
    </w:p>
    <w:p w:rsidR="00474ABE" w:rsidRDefault="00474ABE" w:rsidP="00474ABE">
      <w:pPr>
        <w:pStyle w:val="ListParagraph"/>
        <w:numPr>
          <w:ilvl w:val="0"/>
          <w:numId w:val="3"/>
        </w:numPr>
        <w:spacing w:after="0"/>
        <w:rPr>
          <w:sz w:val="24"/>
          <w:szCs w:val="24"/>
        </w:rPr>
      </w:pPr>
      <w:r>
        <w:rPr>
          <w:sz w:val="24"/>
          <w:szCs w:val="24"/>
        </w:rPr>
        <w:t xml:space="preserve">Re. review of agency’s interpretation of statute: </w:t>
      </w:r>
      <w:r>
        <w:rPr>
          <w:i/>
          <w:sz w:val="24"/>
          <w:szCs w:val="24"/>
        </w:rPr>
        <w:t xml:space="preserve">Chevron </w:t>
      </w:r>
      <w:r>
        <w:rPr>
          <w:sz w:val="24"/>
          <w:szCs w:val="24"/>
        </w:rPr>
        <w:t>deference if the i</w:t>
      </w:r>
      <w:r w:rsidR="00DF0BBC">
        <w:rPr>
          <w:sz w:val="24"/>
          <w:szCs w:val="24"/>
        </w:rPr>
        <w:t>ntent of Congress is ambiguous, so long as agency’s interpretation is permissible.</w:t>
      </w:r>
    </w:p>
    <w:p w:rsidR="00D735CE" w:rsidRDefault="00D735CE" w:rsidP="00D735CE">
      <w:pPr>
        <w:pStyle w:val="ListParagraph"/>
        <w:numPr>
          <w:ilvl w:val="1"/>
          <w:numId w:val="3"/>
        </w:numPr>
        <w:spacing w:after="0"/>
        <w:rPr>
          <w:sz w:val="24"/>
          <w:szCs w:val="24"/>
        </w:rPr>
      </w:pPr>
      <w:r>
        <w:rPr>
          <w:sz w:val="24"/>
          <w:szCs w:val="24"/>
        </w:rPr>
        <w:t>Court must review agency’s interpretation of statute: “Although this review is deferential, ‘courts retain a role, and an important one, in ensuring that agencies have engaged in reasoned decision making.’” (quoting stuff 45)</w:t>
      </w:r>
    </w:p>
    <w:p w:rsidR="00B80826" w:rsidRDefault="00B80826" w:rsidP="00B80826">
      <w:pPr>
        <w:pStyle w:val="ListParagraph"/>
        <w:numPr>
          <w:ilvl w:val="0"/>
          <w:numId w:val="3"/>
        </w:numPr>
        <w:spacing w:after="0"/>
        <w:rPr>
          <w:sz w:val="24"/>
          <w:szCs w:val="24"/>
        </w:rPr>
      </w:pPr>
      <w:r>
        <w:rPr>
          <w:sz w:val="24"/>
          <w:szCs w:val="24"/>
        </w:rPr>
        <w:t>“Credible fear determinations, like requests for asylum in general, must be resolved based on the particular facts and circumstances of each case.” (56)</w:t>
      </w:r>
    </w:p>
    <w:p w:rsidR="00B80826" w:rsidRDefault="00B80826" w:rsidP="00B80826">
      <w:pPr>
        <w:pStyle w:val="ListParagraph"/>
        <w:numPr>
          <w:ilvl w:val="0"/>
          <w:numId w:val="3"/>
        </w:numPr>
        <w:spacing w:after="0"/>
        <w:rPr>
          <w:sz w:val="24"/>
          <w:szCs w:val="24"/>
        </w:rPr>
      </w:pPr>
      <w:r>
        <w:rPr>
          <w:sz w:val="24"/>
          <w:szCs w:val="24"/>
        </w:rPr>
        <w:t xml:space="preserve">“The AG’s directive to broadly exclude groups of aliens based on a sweeping policy applied indiscriminately at the credible fear </w:t>
      </w:r>
      <w:proofErr w:type="gramStart"/>
      <w:r>
        <w:rPr>
          <w:sz w:val="24"/>
          <w:szCs w:val="24"/>
        </w:rPr>
        <w:t>stage,</w:t>
      </w:r>
      <w:proofErr w:type="gramEnd"/>
      <w:r>
        <w:rPr>
          <w:sz w:val="24"/>
          <w:szCs w:val="24"/>
        </w:rPr>
        <w:t xml:space="preserve"> was neither adequately explained nor supported by agency precedent.” (58)</w:t>
      </w:r>
    </w:p>
    <w:p w:rsidR="000C4CE3" w:rsidRDefault="000C4CE3" w:rsidP="00B80826">
      <w:pPr>
        <w:pStyle w:val="ListParagraph"/>
        <w:numPr>
          <w:ilvl w:val="0"/>
          <w:numId w:val="3"/>
        </w:numPr>
        <w:spacing w:after="0"/>
        <w:rPr>
          <w:sz w:val="24"/>
          <w:szCs w:val="24"/>
        </w:rPr>
      </w:pPr>
      <w:r>
        <w:rPr>
          <w:sz w:val="24"/>
          <w:szCs w:val="24"/>
        </w:rPr>
        <w:t xml:space="preserve">“If a word is obviously transplanted from another legal source, whether the common law or other legislation, it brings the old soil with it.” </w:t>
      </w:r>
      <w:proofErr w:type="spellStart"/>
      <w:r>
        <w:rPr>
          <w:b/>
          <w:i/>
          <w:sz w:val="24"/>
          <w:szCs w:val="24"/>
        </w:rPr>
        <w:t>Sekhar</w:t>
      </w:r>
      <w:proofErr w:type="spellEnd"/>
      <w:r>
        <w:rPr>
          <w:b/>
          <w:i/>
          <w:sz w:val="24"/>
          <w:szCs w:val="24"/>
        </w:rPr>
        <w:t xml:space="preserve"> v. U.S.</w:t>
      </w:r>
      <w:r>
        <w:rPr>
          <w:b/>
          <w:sz w:val="24"/>
          <w:szCs w:val="24"/>
        </w:rPr>
        <w:t>, 570 U.S. 729, 733 (2013)</w:t>
      </w:r>
    </w:p>
    <w:p w:rsidR="00060946" w:rsidRDefault="00060946" w:rsidP="00B80826">
      <w:pPr>
        <w:pStyle w:val="ListParagraph"/>
        <w:numPr>
          <w:ilvl w:val="0"/>
          <w:numId w:val="3"/>
        </w:numPr>
        <w:spacing w:after="0"/>
        <w:rPr>
          <w:sz w:val="24"/>
          <w:szCs w:val="24"/>
        </w:rPr>
      </w:pPr>
      <w:r>
        <w:rPr>
          <w:sz w:val="24"/>
          <w:szCs w:val="24"/>
        </w:rPr>
        <w:t xml:space="preserve">Courts do not owe </w:t>
      </w:r>
      <w:r>
        <w:rPr>
          <w:i/>
          <w:sz w:val="24"/>
          <w:szCs w:val="24"/>
        </w:rPr>
        <w:t>Chevron</w:t>
      </w:r>
      <w:r>
        <w:rPr>
          <w:sz w:val="24"/>
          <w:szCs w:val="24"/>
        </w:rPr>
        <w:t xml:space="preserve"> deference to agency interpretations of </w:t>
      </w:r>
      <w:r>
        <w:rPr>
          <w:i/>
          <w:sz w:val="24"/>
          <w:szCs w:val="24"/>
        </w:rPr>
        <w:t>court opinions</w:t>
      </w:r>
      <w:r>
        <w:rPr>
          <w:sz w:val="24"/>
          <w:szCs w:val="24"/>
        </w:rPr>
        <w:t>. (see pp.65-66)</w:t>
      </w:r>
    </w:p>
    <w:p w:rsidR="00E837DD" w:rsidRDefault="00E837DD" w:rsidP="00B80826">
      <w:pPr>
        <w:pStyle w:val="ListParagraph"/>
        <w:numPr>
          <w:ilvl w:val="0"/>
          <w:numId w:val="3"/>
        </w:numPr>
        <w:spacing w:after="0"/>
        <w:rPr>
          <w:sz w:val="24"/>
          <w:szCs w:val="24"/>
        </w:rPr>
      </w:pPr>
      <w:r>
        <w:rPr>
          <w:sz w:val="24"/>
          <w:szCs w:val="24"/>
        </w:rPr>
        <w:t xml:space="preserve">From </w:t>
      </w:r>
      <w:r w:rsidRPr="00E837DD">
        <w:rPr>
          <w:b/>
          <w:i/>
          <w:sz w:val="24"/>
          <w:szCs w:val="24"/>
        </w:rPr>
        <w:t xml:space="preserve">Nat’l Cable &amp; </w:t>
      </w:r>
      <w:proofErr w:type="spellStart"/>
      <w:r w:rsidRPr="00E837DD">
        <w:rPr>
          <w:b/>
          <w:i/>
          <w:sz w:val="24"/>
          <w:szCs w:val="24"/>
        </w:rPr>
        <w:t>Telecomm’s</w:t>
      </w:r>
      <w:proofErr w:type="spellEnd"/>
      <w:r w:rsidRPr="00E837DD">
        <w:rPr>
          <w:b/>
          <w:i/>
          <w:sz w:val="24"/>
          <w:szCs w:val="24"/>
        </w:rPr>
        <w:t xml:space="preserve"> </w:t>
      </w:r>
      <w:proofErr w:type="spellStart"/>
      <w:r w:rsidRPr="00E837DD">
        <w:rPr>
          <w:b/>
          <w:i/>
          <w:sz w:val="24"/>
          <w:szCs w:val="24"/>
        </w:rPr>
        <w:t>Ass’n</w:t>
      </w:r>
      <w:proofErr w:type="spellEnd"/>
      <w:r w:rsidRPr="00E837DD">
        <w:rPr>
          <w:b/>
          <w:i/>
          <w:sz w:val="24"/>
          <w:szCs w:val="24"/>
        </w:rPr>
        <w:t xml:space="preserve"> v. Brand X Internet </w:t>
      </w:r>
      <w:proofErr w:type="spellStart"/>
      <w:r w:rsidRPr="00E837DD">
        <w:rPr>
          <w:b/>
          <w:i/>
          <w:sz w:val="24"/>
          <w:szCs w:val="24"/>
        </w:rPr>
        <w:t>Servs</w:t>
      </w:r>
      <w:proofErr w:type="spellEnd"/>
      <w:r w:rsidRPr="00E837DD">
        <w:rPr>
          <w:b/>
          <w:i/>
          <w:sz w:val="24"/>
          <w:szCs w:val="24"/>
        </w:rPr>
        <w:t xml:space="preserve">., </w:t>
      </w:r>
      <w:r w:rsidRPr="00E837DD">
        <w:rPr>
          <w:b/>
          <w:sz w:val="24"/>
          <w:szCs w:val="24"/>
        </w:rPr>
        <w:t>545 U.S. 967 (2005)</w:t>
      </w:r>
      <w:r>
        <w:rPr>
          <w:sz w:val="24"/>
          <w:szCs w:val="24"/>
        </w:rPr>
        <w:t xml:space="preserve">: “an agency’s interpretation of a provision may override a prior court’s interpretation if the agency is entitled to </w:t>
      </w:r>
      <w:r>
        <w:rPr>
          <w:i/>
          <w:sz w:val="24"/>
          <w:szCs w:val="24"/>
        </w:rPr>
        <w:t>Chevron</w:t>
      </w:r>
      <w:r>
        <w:rPr>
          <w:sz w:val="24"/>
          <w:szCs w:val="24"/>
        </w:rPr>
        <w:t xml:space="preserve"> deference and the agency’s interpretation is reasonable. If the agency is not entitled to deference or if the agency’s interpretation is unreasonable, a court’s prior decision interpreting the same statutory provision controls.” (82-83)</w:t>
      </w:r>
    </w:p>
    <w:p w:rsidR="003807E0" w:rsidRDefault="003807E0" w:rsidP="00B80826">
      <w:pPr>
        <w:pStyle w:val="ListParagraph"/>
        <w:numPr>
          <w:ilvl w:val="0"/>
          <w:numId w:val="3"/>
        </w:numPr>
        <w:spacing w:after="0"/>
        <w:rPr>
          <w:sz w:val="24"/>
          <w:szCs w:val="24"/>
        </w:rPr>
      </w:pPr>
      <w:r>
        <w:rPr>
          <w:b/>
          <w:sz w:val="24"/>
          <w:szCs w:val="24"/>
        </w:rPr>
        <w:t xml:space="preserve">Relief: </w:t>
      </w:r>
      <w:r>
        <w:rPr>
          <w:sz w:val="24"/>
          <w:szCs w:val="24"/>
        </w:rPr>
        <w:t>acc. to statute, Court that has jurisdiction to hear this challenge also has authority to provide a remedy so that an unlawful agency action will not continue.</w:t>
      </w:r>
    </w:p>
    <w:p w:rsidR="00BD3281" w:rsidRDefault="00BD3281" w:rsidP="00B80826">
      <w:pPr>
        <w:pStyle w:val="ListParagraph"/>
        <w:numPr>
          <w:ilvl w:val="0"/>
          <w:numId w:val="3"/>
        </w:numPr>
        <w:spacing w:after="0"/>
        <w:rPr>
          <w:sz w:val="24"/>
          <w:szCs w:val="24"/>
        </w:rPr>
      </w:pPr>
      <w:r>
        <w:rPr>
          <w:b/>
          <w:sz w:val="24"/>
          <w:szCs w:val="24"/>
        </w:rPr>
        <w:t xml:space="preserve">Relief cont’d: </w:t>
      </w:r>
      <w:r>
        <w:rPr>
          <w:sz w:val="24"/>
          <w:szCs w:val="24"/>
        </w:rPr>
        <w:t>Plaintiffs aren’t seeking an injunction on the law itself; they “seek to enjoin the government’s violation of those provisions by the implementation of the unlawful credible fear policies.” (99)</w:t>
      </w:r>
    </w:p>
    <w:p w:rsidR="00BD3281" w:rsidRDefault="00BD3281" w:rsidP="00B80826">
      <w:pPr>
        <w:pStyle w:val="ListParagraph"/>
        <w:numPr>
          <w:ilvl w:val="0"/>
          <w:numId w:val="3"/>
        </w:numPr>
        <w:spacing w:after="0"/>
        <w:rPr>
          <w:sz w:val="24"/>
          <w:szCs w:val="24"/>
        </w:rPr>
      </w:pPr>
      <w:r>
        <w:rPr>
          <w:b/>
          <w:sz w:val="24"/>
          <w:szCs w:val="24"/>
        </w:rPr>
        <w:t>Relief cont’d:</w:t>
      </w:r>
      <w:r>
        <w:rPr>
          <w:sz w:val="24"/>
          <w:szCs w:val="24"/>
        </w:rPr>
        <w:t xml:space="preserve"> </w:t>
      </w:r>
      <w:proofErr w:type="spellStart"/>
      <w:r>
        <w:rPr>
          <w:sz w:val="24"/>
          <w:szCs w:val="24"/>
        </w:rPr>
        <w:t>Gov’t</w:t>
      </w:r>
      <w:proofErr w:type="spellEnd"/>
      <w:r>
        <w:rPr>
          <w:sz w:val="24"/>
          <w:szCs w:val="24"/>
        </w:rPr>
        <w:t xml:space="preserve"> argues that injunction should only be applied to the specific plaintiffs in this case, not across the board. “In other words, according to the </w:t>
      </w:r>
      <w:proofErr w:type="spellStart"/>
      <w:r>
        <w:rPr>
          <w:sz w:val="24"/>
          <w:szCs w:val="24"/>
        </w:rPr>
        <w:t>gov’t</w:t>
      </w:r>
      <w:proofErr w:type="spellEnd"/>
      <w:r>
        <w:rPr>
          <w:sz w:val="24"/>
          <w:szCs w:val="24"/>
        </w:rPr>
        <w:t>, the Court may declare the new credible fear policies unlawful, but DHS may continue to enforce the policies in all other credible fear interviews. To state this proposition is to refute it.” (100)</w:t>
      </w:r>
    </w:p>
    <w:p w:rsidR="00BD3281" w:rsidRDefault="00BD3281" w:rsidP="00B80826">
      <w:pPr>
        <w:pStyle w:val="ListParagraph"/>
        <w:numPr>
          <w:ilvl w:val="0"/>
          <w:numId w:val="3"/>
        </w:numPr>
        <w:spacing w:after="0"/>
        <w:rPr>
          <w:sz w:val="24"/>
          <w:szCs w:val="24"/>
        </w:rPr>
      </w:pPr>
      <w:r>
        <w:rPr>
          <w:b/>
          <w:sz w:val="24"/>
          <w:szCs w:val="24"/>
        </w:rPr>
        <w:t>Relief cont’d:</w:t>
      </w:r>
      <w:r>
        <w:rPr>
          <w:sz w:val="24"/>
          <w:szCs w:val="24"/>
        </w:rPr>
        <w:t xml:space="preserve"> Plaintiffs are not seeking class-wide relief (i.e., a return of EVERYONE who has been deported under </w:t>
      </w:r>
      <w:r>
        <w:rPr>
          <w:i/>
          <w:sz w:val="24"/>
          <w:szCs w:val="24"/>
        </w:rPr>
        <w:t>Matter of A-B-</w:t>
      </w:r>
      <w:r>
        <w:rPr>
          <w:sz w:val="24"/>
          <w:szCs w:val="24"/>
        </w:rPr>
        <w:t>); they’re just seeking an injunction against implementing these new policies in the future.</w:t>
      </w:r>
    </w:p>
    <w:p w:rsidR="00100CA7" w:rsidRDefault="00100CA7" w:rsidP="00B80826">
      <w:pPr>
        <w:pStyle w:val="ListParagraph"/>
        <w:numPr>
          <w:ilvl w:val="0"/>
          <w:numId w:val="3"/>
        </w:numPr>
        <w:spacing w:after="0"/>
        <w:rPr>
          <w:sz w:val="24"/>
          <w:szCs w:val="24"/>
        </w:rPr>
      </w:pPr>
      <w:r>
        <w:rPr>
          <w:b/>
          <w:sz w:val="24"/>
          <w:szCs w:val="24"/>
        </w:rPr>
        <w:t xml:space="preserve">Relief cont’d: </w:t>
      </w:r>
      <w:r>
        <w:rPr>
          <w:sz w:val="24"/>
          <w:szCs w:val="24"/>
        </w:rPr>
        <w:t xml:space="preserve">“Because the Court finds </w:t>
      </w:r>
      <w:proofErr w:type="spellStart"/>
      <w:r>
        <w:rPr>
          <w:i/>
          <w:sz w:val="24"/>
          <w:szCs w:val="24"/>
        </w:rPr>
        <w:t>Kiyemba</w:t>
      </w:r>
      <w:proofErr w:type="spellEnd"/>
      <w:r>
        <w:rPr>
          <w:sz w:val="24"/>
          <w:szCs w:val="24"/>
        </w:rPr>
        <w:t xml:space="preserve"> inapposite, the </w:t>
      </w:r>
      <w:proofErr w:type="spellStart"/>
      <w:r>
        <w:rPr>
          <w:sz w:val="24"/>
          <w:szCs w:val="24"/>
        </w:rPr>
        <w:t>gov’t’s</w:t>
      </w:r>
      <w:proofErr w:type="spellEnd"/>
      <w:r>
        <w:rPr>
          <w:sz w:val="24"/>
          <w:szCs w:val="24"/>
        </w:rPr>
        <w:t xml:space="preserve"> argument that this Court lacks authority to order plaintiffs returned to the U.S. is unavailing.” (103)</w:t>
      </w:r>
    </w:p>
    <w:p w:rsidR="00100CA7" w:rsidRDefault="00100CA7" w:rsidP="00100CA7">
      <w:pPr>
        <w:pStyle w:val="ListParagraph"/>
        <w:spacing w:after="0"/>
        <w:rPr>
          <w:b/>
          <w:sz w:val="24"/>
          <w:szCs w:val="24"/>
        </w:rPr>
      </w:pPr>
    </w:p>
    <w:p w:rsidR="00100CA7" w:rsidRDefault="00100CA7" w:rsidP="00100CA7">
      <w:pPr>
        <w:pStyle w:val="ListParagraph"/>
        <w:spacing w:after="0"/>
        <w:rPr>
          <w:sz w:val="24"/>
          <w:szCs w:val="24"/>
        </w:rPr>
      </w:pPr>
    </w:p>
    <w:p w:rsidR="00100CA7" w:rsidRDefault="00100CA7" w:rsidP="00B80826">
      <w:pPr>
        <w:pStyle w:val="ListParagraph"/>
        <w:numPr>
          <w:ilvl w:val="0"/>
          <w:numId w:val="3"/>
        </w:numPr>
        <w:spacing w:after="0"/>
        <w:rPr>
          <w:sz w:val="24"/>
          <w:szCs w:val="24"/>
        </w:rPr>
      </w:pPr>
      <w:r>
        <w:rPr>
          <w:b/>
          <w:sz w:val="24"/>
          <w:szCs w:val="24"/>
        </w:rPr>
        <w:lastRenderedPageBreak/>
        <w:t>PERMANENT INJUNCTIVE RELIEF:</w:t>
      </w:r>
    </w:p>
    <w:p w:rsidR="00100CA7" w:rsidRDefault="00100CA7" w:rsidP="00100CA7">
      <w:pPr>
        <w:pStyle w:val="ListParagraph"/>
        <w:numPr>
          <w:ilvl w:val="0"/>
          <w:numId w:val="8"/>
        </w:numPr>
        <w:spacing w:after="0"/>
        <w:rPr>
          <w:sz w:val="24"/>
          <w:szCs w:val="24"/>
        </w:rPr>
      </w:pPr>
      <w:r>
        <w:rPr>
          <w:sz w:val="24"/>
          <w:szCs w:val="24"/>
        </w:rPr>
        <w:t>Suffered irreparable injury</w:t>
      </w:r>
    </w:p>
    <w:p w:rsidR="00100CA7" w:rsidRDefault="00100CA7" w:rsidP="00100CA7">
      <w:pPr>
        <w:pStyle w:val="ListParagraph"/>
        <w:numPr>
          <w:ilvl w:val="0"/>
          <w:numId w:val="8"/>
        </w:numPr>
        <w:spacing w:after="0"/>
        <w:rPr>
          <w:sz w:val="24"/>
          <w:szCs w:val="24"/>
        </w:rPr>
      </w:pPr>
      <w:r>
        <w:rPr>
          <w:sz w:val="24"/>
          <w:szCs w:val="24"/>
        </w:rPr>
        <w:t>Traditional legal remedies such as monetary relief are inadequate to compensate</w:t>
      </w:r>
    </w:p>
    <w:p w:rsidR="00100CA7" w:rsidRDefault="00100CA7" w:rsidP="00100CA7">
      <w:pPr>
        <w:pStyle w:val="ListParagraph"/>
        <w:numPr>
          <w:ilvl w:val="0"/>
          <w:numId w:val="8"/>
        </w:numPr>
        <w:spacing w:after="0"/>
        <w:rPr>
          <w:sz w:val="24"/>
          <w:szCs w:val="24"/>
        </w:rPr>
      </w:pPr>
      <w:r>
        <w:rPr>
          <w:sz w:val="24"/>
          <w:szCs w:val="24"/>
        </w:rPr>
        <w:t>Balance of hardships between the parties warrants equitable relief</w:t>
      </w:r>
    </w:p>
    <w:p w:rsidR="00100CA7" w:rsidRDefault="00100CA7" w:rsidP="00100CA7">
      <w:pPr>
        <w:pStyle w:val="ListParagraph"/>
        <w:numPr>
          <w:ilvl w:val="0"/>
          <w:numId w:val="8"/>
        </w:numPr>
        <w:spacing w:after="0"/>
        <w:rPr>
          <w:sz w:val="24"/>
          <w:szCs w:val="24"/>
        </w:rPr>
      </w:pPr>
      <w:r>
        <w:rPr>
          <w:sz w:val="24"/>
          <w:szCs w:val="24"/>
        </w:rPr>
        <w:t>The injunction is not contrary to the public interest</w:t>
      </w:r>
    </w:p>
    <w:p w:rsidR="00100CA7" w:rsidRPr="00100CA7" w:rsidRDefault="00100CA7" w:rsidP="00100CA7">
      <w:pPr>
        <w:spacing w:after="0"/>
        <w:ind w:left="720"/>
        <w:rPr>
          <w:sz w:val="24"/>
          <w:szCs w:val="24"/>
        </w:rPr>
      </w:pPr>
      <w:r>
        <w:rPr>
          <w:sz w:val="24"/>
          <w:szCs w:val="24"/>
        </w:rPr>
        <w:t xml:space="preserve">(See </w:t>
      </w:r>
      <w:r>
        <w:rPr>
          <w:b/>
          <w:i/>
          <w:sz w:val="24"/>
          <w:szCs w:val="24"/>
        </w:rPr>
        <w:t xml:space="preserve">eBay Inc. v. </w:t>
      </w:r>
      <w:proofErr w:type="spellStart"/>
      <w:r>
        <w:rPr>
          <w:b/>
          <w:i/>
          <w:sz w:val="24"/>
          <w:szCs w:val="24"/>
        </w:rPr>
        <w:t>MercExchange</w:t>
      </w:r>
      <w:proofErr w:type="spellEnd"/>
      <w:r>
        <w:rPr>
          <w:b/>
          <w:i/>
          <w:sz w:val="24"/>
          <w:szCs w:val="24"/>
        </w:rPr>
        <w:t>, L.L.C.</w:t>
      </w:r>
      <w:r>
        <w:rPr>
          <w:b/>
          <w:sz w:val="24"/>
          <w:szCs w:val="24"/>
        </w:rPr>
        <w:t>, 547 U.S. 388, 391 (2006)</w:t>
      </w:r>
      <w:r>
        <w:rPr>
          <w:sz w:val="24"/>
          <w:szCs w:val="24"/>
        </w:rPr>
        <w:t>)</w:t>
      </w:r>
    </w:p>
    <w:p w:rsidR="00060946" w:rsidRDefault="00060946" w:rsidP="00060946">
      <w:pPr>
        <w:spacing w:after="0"/>
        <w:rPr>
          <w:sz w:val="24"/>
          <w:szCs w:val="24"/>
        </w:rPr>
      </w:pPr>
    </w:p>
    <w:p w:rsidR="00060946" w:rsidRDefault="00060946" w:rsidP="00060946">
      <w:pPr>
        <w:spacing w:after="0"/>
        <w:rPr>
          <w:b/>
          <w:sz w:val="24"/>
          <w:szCs w:val="24"/>
        </w:rPr>
      </w:pPr>
      <w:r>
        <w:rPr>
          <w:b/>
          <w:sz w:val="24"/>
          <w:szCs w:val="24"/>
        </w:rPr>
        <w:t>Dicta:</w:t>
      </w:r>
    </w:p>
    <w:p w:rsidR="00060946" w:rsidRPr="001C63B4" w:rsidRDefault="00060946" w:rsidP="00060946">
      <w:pPr>
        <w:pStyle w:val="ListParagraph"/>
        <w:numPr>
          <w:ilvl w:val="0"/>
          <w:numId w:val="5"/>
        </w:numPr>
        <w:spacing w:after="0"/>
        <w:rPr>
          <w:b/>
          <w:sz w:val="24"/>
          <w:szCs w:val="24"/>
        </w:rPr>
      </w:pPr>
      <w:r>
        <w:rPr>
          <w:sz w:val="24"/>
          <w:szCs w:val="24"/>
        </w:rPr>
        <w:t>“…because it is the will of Congress—not the whims of the Executive—that determines the standard for expedited removal, the Court finds that those policies are unlawful.”</w:t>
      </w:r>
    </w:p>
    <w:p w:rsidR="00060946" w:rsidRPr="00060946" w:rsidRDefault="00060946" w:rsidP="00060946">
      <w:pPr>
        <w:pStyle w:val="ListParagraph"/>
        <w:numPr>
          <w:ilvl w:val="0"/>
          <w:numId w:val="5"/>
        </w:numPr>
        <w:spacing w:after="0"/>
        <w:rPr>
          <w:b/>
          <w:sz w:val="24"/>
          <w:szCs w:val="24"/>
        </w:rPr>
      </w:pPr>
      <w:r>
        <w:rPr>
          <w:sz w:val="24"/>
          <w:szCs w:val="24"/>
        </w:rPr>
        <w:t>“Because the credible fear policies impermissibly raise their burden and deny plaintiffs a fair opportunity to seek asylum and escape the persecution they have suffered, plaintiffs argue, the policies violate the APA and immigration laws.” (39)</w:t>
      </w:r>
    </w:p>
    <w:p w:rsidR="00060946" w:rsidRPr="00B33309" w:rsidRDefault="00060946" w:rsidP="00060946">
      <w:pPr>
        <w:pStyle w:val="ListParagraph"/>
        <w:numPr>
          <w:ilvl w:val="0"/>
          <w:numId w:val="5"/>
        </w:numPr>
        <w:spacing w:after="0"/>
        <w:rPr>
          <w:b/>
          <w:sz w:val="24"/>
          <w:szCs w:val="24"/>
        </w:rPr>
      </w:pPr>
      <w:r>
        <w:rPr>
          <w:sz w:val="24"/>
          <w:szCs w:val="24"/>
        </w:rPr>
        <w:t>“That is simply not the law.” (64)</w:t>
      </w:r>
    </w:p>
    <w:p w:rsidR="00B33309" w:rsidRPr="001C63B4" w:rsidRDefault="009A46A1" w:rsidP="00060946">
      <w:pPr>
        <w:pStyle w:val="ListParagraph"/>
        <w:numPr>
          <w:ilvl w:val="0"/>
          <w:numId w:val="5"/>
        </w:numPr>
        <w:spacing w:after="0"/>
        <w:rPr>
          <w:b/>
          <w:sz w:val="24"/>
          <w:szCs w:val="24"/>
        </w:rPr>
      </w:pPr>
      <w:r>
        <w:rPr>
          <w:sz w:val="24"/>
          <w:szCs w:val="24"/>
        </w:rPr>
        <w:t xml:space="preserve">“Any assumption that the entirety of </w:t>
      </w:r>
      <w:r>
        <w:rPr>
          <w:i/>
          <w:sz w:val="24"/>
          <w:szCs w:val="24"/>
        </w:rPr>
        <w:t>Matter of A-B-</w:t>
      </w:r>
      <w:r>
        <w:rPr>
          <w:sz w:val="24"/>
          <w:szCs w:val="24"/>
        </w:rPr>
        <w:t xml:space="preserve"> is entitled to deference also falters in the light of the government’s characterization of most of the decision as dicta. . . . Simply put, </w:t>
      </w:r>
      <w:r>
        <w:rPr>
          <w:i/>
          <w:sz w:val="24"/>
          <w:szCs w:val="24"/>
        </w:rPr>
        <w:t>Brand X</w:t>
      </w:r>
      <w:r>
        <w:rPr>
          <w:sz w:val="24"/>
          <w:szCs w:val="24"/>
        </w:rPr>
        <w:t xml:space="preserve"> is not a license for agencies to rely on dicta to ignore otherwise binding circuit precedent.” (86 n.22)</w:t>
      </w:r>
    </w:p>
    <w:p w:rsidR="00BE2C82" w:rsidRDefault="00BE2C82" w:rsidP="00BE2C82">
      <w:pPr>
        <w:rPr>
          <w:sz w:val="24"/>
          <w:szCs w:val="24"/>
        </w:rPr>
      </w:pPr>
    </w:p>
    <w:p w:rsidR="00060946" w:rsidRDefault="00A2469C" w:rsidP="00BE2C82">
      <w:pPr>
        <w:jc w:val="center"/>
        <w:rPr>
          <w:sz w:val="24"/>
          <w:szCs w:val="24"/>
        </w:rPr>
      </w:pPr>
      <w:r>
        <w:rPr>
          <w:b/>
          <w:sz w:val="24"/>
          <w:szCs w:val="24"/>
        </w:rPr>
        <w:t>OUTLINE</w:t>
      </w:r>
    </w:p>
    <w:p w:rsidR="00A2469C" w:rsidRDefault="00A2469C" w:rsidP="00A2469C">
      <w:pPr>
        <w:spacing w:after="0"/>
        <w:rPr>
          <w:sz w:val="24"/>
          <w:szCs w:val="24"/>
        </w:rPr>
      </w:pPr>
    </w:p>
    <w:p w:rsidR="00A2469C" w:rsidRDefault="00A2469C" w:rsidP="00A2469C">
      <w:pPr>
        <w:tabs>
          <w:tab w:val="right" w:leader="dot" w:pos="8640"/>
        </w:tabs>
        <w:spacing w:after="0"/>
        <w:ind w:left="1440"/>
        <w:rPr>
          <w:b/>
          <w:sz w:val="24"/>
          <w:szCs w:val="24"/>
        </w:rPr>
      </w:pPr>
      <w:r>
        <w:rPr>
          <w:b/>
          <w:sz w:val="24"/>
          <w:szCs w:val="24"/>
        </w:rPr>
        <w:t>Introductory Material</w:t>
      </w:r>
      <w:r>
        <w:rPr>
          <w:b/>
          <w:sz w:val="24"/>
          <w:szCs w:val="24"/>
        </w:rPr>
        <w:tab/>
        <w:t>1</w:t>
      </w:r>
    </w:p>
    <w:p w:rsidR="00A2469C" w:rsidRDefault="00E44DD5" w:rsidP="00E44DD5">
      <w:pPr>
        <w:pStyle w:val="ListParagraph"/>
        <w:numPr>
          <w:ilvl w:val="0"/>
          <w:numId w:val="9"/>
        </w:numPr>
        <w:tabs>
          <w:tab w:val="right" w:leader="dot" w:pos="8640"/>
        </w:tabs>
        <w:spacing w:after="0"/>
        <w:rPr>
          <w:b/>
          <w:sz w:val="24"/>
          <w:szCs w:val="24"/>
        </w:rPr>
      </w:pPr>
      <w:r>
        <w:rPr>
          <w:b/>
          <w:sz w:val="24"/>
          <w:szCs w:val="24"/>
        </w:rPr>
        <w:t>Background</w:t>
      </w:r>
      <w:r>
        <w:rPr>
          <w:b/>
          <w:sz w:val="24"/>
          <w:szCs w:val="24"/>
        </w:rPr>
        <w:tab/>
        <w:t>5</w:t>
      </w:r>
    </w:p>
    <w:p w:rsidR="00E44DD5" w:rsidRPr="00E44DD5" w:rsidRDefault="00E44DD5" w:rsidP="00E44DD5">
      <w:pPr>
        <w:pStyle w:val="ListParagraph"/>
        <w:numPr>
          <w:ilvl w:val="0"/>
          <w:numId w:val="10"/>
        </w:numPr>
        <w:tabs>
          <w:tab w:val="right" w:leader="dot" w:pos="8640"/>
        </w:tabs>
        <w:spacing w:after="0"/>
        <w:rPr>
          <w:b/>
          <w:sz w:val="24"/>
          <w:szCs w:val="24"/>
        </w:rPr>
      </w:pPr>
      <w:r w:rsidRPr="00E44DD5">
        <w:rPr>
          <w:b/>
          <w:sz w:val="24"/>
          <w:szCs w:val="24"/>
        </w:rPr>
        <w:t>Statutory and Regulatory Background</w:t>
      </w:r>
      <w:r w:rsidRPr="00E44DD5">
        <w:rPr>
          <w:b/>
          <w:sz w:val="24"/>
          <w:szCs w:val="24"/>
        </w:rPr>
        <w:tab/>
        <w:t>5</w:t>
      </w:r>
    </w:p>
    <w:p w:rsidR="00E44DD5" w:rsidRDefault="00E44DD5" w:rsidP="00E44DD5">
      <w:pPr>
        <w:pStyle w:val="ListParagraph"/>
        <w:numPr>
          <w:ilvl w:val="0"/>
          <w:numId w:val="11"/>
        </w:numPr>
        <w:tabs>
          <w:tab w:val="right" w:leader="dot" w:pos="8640"/>
        </w:tabs>
        <w:spacing w:after="0"/>
        <w:rPr>
          <w:b/>
          <w:sz w:val="24"/>
          <w:szCs w:val="24"/>
        </w:rPr>
      </w:pPr>
      <w:r>
        <w:rPr>
          <w:b/>
          <w:sz w:val="24"/>
          <w:szCs w:val="24"/>
        </w:rPr>
        <w:t>The Refugee Act</w:t>
      </w:r>
      <w:r>
        <w:rPr>
          <w:b/>
          <w:sz w:val="24"/>
          <w:szCs w:val="24"/>
        </w:rPr>
        <w:tab/>
        <w:t>5</w:t>
      </w:r>
    </w:p>
    <w:p w:rsidR="00E44DD5" w:rsidRDefault="00E44DD5" w:rsidP="00E44DD5">
      <w:pPr>
        <w:pStyle w:val="ListParagraph"/>
        <w:numPr>
          <w:ilvl w:val="0"/>
          <w:numId w:val="11"/>
        </w:numPr>
        <w:tabs>
          <w:tab w:val="right" w:leader="dot" w:pos="8640"/>
        </w:tabs>
        <w:spacing w:after="0"/>
        <w:rPr>
          <w:b/>
          <w:sz w:val="24"/>
          <w:szCs w:val="24"/>
        </w:rPr>
      </w:pPr>
      <w:r>
        <w:rPr>
          <w:b/>
          <w:sz w:val="24"/>
          <w:szCs w:val="24"/>
        </w:rPr>
        <w:t>Expedited Removal Process</w:t>
      </w:r>
      <w:r>
        <w:rPr>
          <w:b/>
          <w:sz w:val="24"/>
          <w:szCs w:val="24"/>
        </w:rPr>
        <w:tab/>
        <w:t>7</w:t>
      </w:r>
    </w:p>
    <w:p w:rsidR="00E44DD5" w:rsidRDefault="00E44DD5" w:rsidP="00E44DD5">
      <w:pPr>
        <w:pStyle w:val="ListParagraph"/>
        <w:numPr>
          <w:ilvl w:val="0"/>
          <w:numId w:val="11"/>
        </w:numPr>
        <w:tabs>
          <w:tab w:val="right" w:leader="dot" w:pos="8640"/>
        </w:tabs>
        <w:spacing w:after="0"/>
        <w:rPr>
          <w:b/>
          <w:sz w:val="24"/>
          <w:szCs w:val="24"/>
        </w:rPr>
      </w:pPr>
      <w:r>
        <w:rPr>
          <w:b/>
          <w:sz w:val="24"/>
          <w:szCs w:val="24"/>
        </w:rPr>
        <w:t>Judicial Review</w:t>
      </w:r>
      <w:r>
        <w:rPr>
          <w:b/>
          <w:sz w:val="24"/>
          <w:szCs w:val="24"/>
        </w:rPr>
        <w:tab/>
        <w:t>10</w:t>
      </w:r>
    </w:p>
    <w:p w:rsidR="00E44DD5" w:rsidRDefault="00E44DD5" w:rsidP="00E44DD5">
      <w:pPr>
        <w:pStyle w:val="ListParagraph"/>
        <w:numPr>
          <w:ilvl w:val="0"/>
          <w:numId w:val="10"/>
        </w:numPr>
        <w:tabs>
          <w:tab w:val="right" w:leader="dot" w:pos="8640"/>
        </w:tabs>
        <w:spacing w:after="0"/>
        <w:rPr>
          <w:b/>
          <w:sz w:val="24"/>
          <w:szCs w:val="24"/>
        </w:rPr>
      </w:pPr>
      <w:r>
        <w:rPr>
          <w:b/>
          <w:sz w:val="24"/>
          <w:szCs w:val="24"/>
        </w:rPr>
        <w:t>Executive Guidance on Asylum Claims</w:t>
      </w:r>
      <w:r w:rsidRPr="00E44DD5">
        <w:rPr>
          <w:b/>
          <w:sz w:val="24"/>
          <w:szCs w:val="24"/>
        </w:rPr>
        <w:tab/>
      </w:r>
      <w:r>
        <w:rPr>
          <w:b/>
          <w:sz w:val="24"/>
          <w:szCs w:val="24"/>
        </w:rPr>
        <w:t>11</w:t>
      </w:r>
    </w:p>
    <w:p w:rsidR="00E44DD5" w:rsidRDefault="00E44DD5" w:rsidP="00E44DD5">
      <w:pPr>
        <w:pStyle w:val="ListParagraph"/>
        <w:numPr>
          <w:ilvl w:val="0"/>
          <w:numId w:val="12"/>
        </w:numPr>
        <w:tabs>
          <w:tab w:val="right" w:leader="dot" w:pos="8640"/>
        </w:tabs>
        <w:spacing w:after="0"/>
        <w:rPr>
          <w:b/>
          <w:sz w:val="24"/>
          <w:szCs w:val="24"/>
        </w:rPr>
      </w:pPr>
      <w:r>
        <w:rPr>
          <w:b/>
          <w:i/>
          <w:sz w:val="24"/>
          <w:szCs w:val="24"/>
        </w:rPr>
        <w:t>Matter of A-B-</w:t>
      </w:r>
      <w:r>
        <w:rPr>
          <w:b/>
          <w:sz w:val="24"/>
          <w:szCs w:val="24"/>
        </w:rPr>
        <w:tab/>
        <w:t>11</w:t>
      </w:r>
    </w:p>
    <w:p w:rsidR="00E44DD5" w:rsidRDefault="00E44DD5" w:rsidP="00E44DD5">
      <w:pPr>
        <w:pStyle w:val="ListParagraph"/>
        <w:numPr>
          <w:ilvl w:val="0"/>
          <w:numId w:val="12"/>
        </w:numPr>
        <w:tabs>
          <w:tab w:val="right" w:leader="dot" w:pos="8640"/>
        </w:tabs>
        <w:spacing w:after="0"/>
        <w:rPr>
          <w:b/>
          <w:sz w:val="24"/>
          <w:szCs w:val="24"/>
        </w:rPr>
      </w:pPr>
      <w:r>
        <w:rPr>
          <w:b/>
          <w:sz w:val="24"/>
          <w:szCs w:val="24"/>
        </w:rPr>
        <w:t>Policy Memorandum (Credible Fear)</w:t>
      </w:r>
      <w:r>
        <w:rPr>
          <w:b/>
          <w:sz w:val="24"/>
          <w:szCs w:val="24"/>
        </w:rPr>
        <w:tab/>
        <w:t>15</w:t>
      </w:r>
    </w:p>
    <w:p w:rsidR="00E44DD5" w:rsidRDefault="00E44DD5" w:rsidP="00E44DD5">
      <w:pPr>
        <w:pStyle w:val="ListParagraph"/>
        <w:numPr>
          <w:ilvl w:val="0"/>
          <w:numId w:val="10"/>
        </w:numPr>
        <w:tabs>
          <w:tab w:val="right" w:leader="dot" w:pos="8640"/>
        </w:tabs>
        <w:spacing w:after="0"/>
        <w:rPr>
          <w:b/>
          <w:sz w:val="24"/>
          <w:szCs w:val="24"/>
        </w:rPr>
      </w:pPr>
      <w:r>
        <w:rPr>
          <w:b/>
          <w:sz w:val="24"/>
          <w:szCs w:val="24"/>
        </w:rPr>
        <w:t>Factual and Procedural Background</w:t>
      </w:r>
      <w:r>
        <w:rPr>
          <w:b/>
          <w:sz w:val="24"/>
          <w:szCs w:val="24"/>
        </w:rPr>
        <w:tab/>
        <w:t>17</w:t>
      </w:r>
    </w:p>
    <w:p w:rsidR="00E44DD5" w:rsidRDefault="00E44DD5" w:rsidP="00E44DD5">
      <w:pPr>
        <w:pStyle w:val="ListParagraph"/>
        <w:numPr>
          <w:ilvl w:val="0"/>
          <w:numId w:val="9"/>
        </w:numPr>
        <w:tabs>
          <w:tab w:val="right" w:leader="dot" w:pos="8640"/>
        </w:tabs>
        <w:spacing w:after="0"/>
        <w:rPr>
          <w:b/>
          <w:sz w:val="24"/>
          <w:szCs w:val="24"/>
        </w:rPr>
      </w:pPr>
      <w:r>
        <w:rPr>
          <w:b/>
          <w:sz w:val="24"/>
          <w:szCs w:val="24"/>
        </w:rPr>
        <w:t>Motion to Consider Extra Record Evidence</w:t>
      </w:r>
      <w:r>
        <w:rPr>
          <w:b/>
          <w:sz w:val="24"/>
          <w:szCs w:val="24"/>
        </w:rPr>
        <w:tab/>
        <w:t>21</w:t>
      </w:r>
    </w:p>
    <w:p w:rsidR="00E44DD5" w:rsidRDefault="00E44DD5" w:rsidP="00E44DD5">
      <w:pPr>
        <w:pStyle w:val="ListParagraph"/>
        <w:numPr>
          <w:ilvl w:val="0"/>
          <w:numId w:val="13"/>
        </w:numPr>
        <w:tabs>
          <w:tab w:val="right" w:leader="dot" w:pos="8640"/>
        </w:tabs>
        <w:spacing w:after="0"/>
        <w:rPr>
          <w:b/>
          <w:sz w:val="24"/>
          <w:szCs w:val="24"/>
        </w:rPr>
      </w:pPr>
      <w:r>
        <w:rPr>
          <w:b/>
          <w:sz w:val="24"/>
          <w:szCs w:val="24"/>
        </w:rPr>
        <w:t>Legal Standard</w:t>
      </w:r>
      <w:r>
        <w:rPr>
          <w:b/>
          <w:sz w:val="24"/>
          <w:szCs w:val="24"/>
        </w:rPr>
        <w:tab/>
        <w:t>21</w:t>
      </w:r>
    </w:p>
    <w:p w:rsidR="00A2469C" w:rsidRDefault="00E44DD5" w:rsidP="00E44DD5">
      <w:pPr>
        <w:pStyle w:val="ListParagraph"/>
        <w:numPr>
          <w:ilvl w:val="0"/>
          <w:numId w:val="13"/>
        </w:numPr>
        <w:tabs>
          <w:tab w:val="right" w:leader="dot" w:pos="8640"/>
        </w:tabs>
        <w:spacing w:after="0"/>
        <w:rPr>
          <w:b/>
          <w:sz w:val="24"/>
          <w:szCs w:val="24"/>
        </w:rPr>
      </w:pPr>
      <w:r>
        <w:rPr>
          <w:b/>
          <w:sz w:val="24"/>
          <w:szCs w:val="24"/>
        </w:rPr>
        <w:t>Analysis</w:t>
      </w:r>
      <w:r>
        <w:rPr>
          <w:b/>
          <w:sz w:val="24"/>
          <w:szCs w:val="24"/>
        </w:rPr>
        <w:tab/>
        <w:t>23</w:t>
      </w:r>
    </w:p>
    <w:p w:rsidR="00E44DD5" w:rsidRDefault="00E44DD5" w:rsidP="00E44DD5">
      <w:pPr>
        <w:pStyle w:val="ListParagraph"/>
        <w:numPr>
          <w:ilvl w:val="0"/>
          <w:numId w:val="15"/>
        </w:numPr>
        <w:tabs>
          <w:tab w:val="right" w:leader="dot" w:pos="8640"/>
        </w:tabs>
        <w:spacing w:after="0"/>
        <w:rPr>
          <w:b/>
          <w:sz w:val="24"/>
          <w:szCs w:val="24"/>
        </w:rPr>
      </w:pPr>
      <w:r>
        <w:rPr>
          <w:b/>
          <w:sz w:val="24"/>
          <w:szCs w:val="24"/>
        </w:rPr>
        <w:t>Evidence of Prior Policies</w:t>
      </w:r>
      <w:r>
        <w:rPr>
          <w:b/>
          <w:sz w:val="24"/>
          <w:szCs w:val="24"/>
        </w:rPr>
        <w:tab/>
        <w:t>23</w:t>
      </w:r>
    </w:p>
    <w:p w:rsidR="00E44DD5" w:rsidRDefault="00E44DD5" w:rsidP="00E44DD5">
      <w:pPr>
        <w:pStyle w:val="ListParagraph"/>
        <w:numPr>
          <w:ilvl w:val="0"/>
          <w:numId w:val="15"/>
        </w:numPr>
        <w:tabs>
          <w:tab w:val="right" w:leader="dot" w:pos="8640"/>
        </w:tabs>
        <w:spacing w:after="0"/>
        <w:rPr>
          <w:b/>
          <w:sz w:val="24"/>
          <w:szCs w:val="24"/>
        </w:rPr>
      </w:pPr>
      <w:r>
        <w:rPr>
          <w:b/>
          <w:sz w:val="24"/>
          <w:szCs w:val="24"/>
        </w:rPr>
        <w:t>Evidence Supporting Injunctive Relief</w:t>
      </w:r>
      <w:r>
        <w:rPr>
          <w:b/>
          <w:sz w:val="24"/>
          <w:szCs w:val="24"/>
        </w:rPr>
        <w:tab/>
        <w:t>25</w:t>
      </w:r>
    </w:p>
    <w:p w:rsidR="00E44DD5" w:rsidRDefault="00E44DD5" w:rsidP="00E44DD5">
      <w:pPr>
        <w:pStyle w:val="ListParagraph"/>
        <w:numPr>
          <w:ilvl w:val="0"/>
          <w:numId w:val="9"/>
        </w:numPr>
        <w:tabs>
          <w:tab w:val="right" w:leader="dot" w:pos="8640"/>
        </w:tabs>
        <w:spacing w:after="0"/>
        <w:rPr>
          <w:b/>
          <w:sz w:val="24"/>
          <w:szCs w:val="24"/>
        </w:rPr>
      </w:pPr>
      <w:r>
        <w:rPr>
          <w:b/>
          <w:sz w:val="24"/>
          <w:szCs w:val="24"/>
        </w:rPr>
        <w:t>Motion for Summary Judgment</w:t>
      </w:r>
      <w:r>
        <w:rPr>
          <w:b/>
          <w:sz w:val="24"/>
          <w:szCs w:val="24"/>
        </w:rPr>
        <w:tab/>
        <w:t>27</w:t>
      </w:r>
    </w:p>
    <w:p w:rsidR="00E44DD5" w:rsidRDefault="00E44DD5" w:rsidP="00E44DD5">
      <w:pPr>
        <w:pStyle w:val="ListParagraph"/>
        <w:numPr>
          <w:ilvl w:val="0"/>
          <w:numId w:val="16"/>
        </w:numPr>
        <w:tabs>
          <w:tab w:val="right" w:leader="dot" w:pos="8640"/>
        </w:tabs>
        <w:spacing w:after="0"/>
        <w:rPr>
          <w:b/>
          <w:sz w:val="24"/>
          <w:szCs w:val="24"/>
        </w:rPr>
      </w:pPr>
      <w:proofErr w:type="spellStart"/>
      <w:r>
        <w:rPr>
          <w:b/>
          <w:sz w:val="24"/>
          <w:szCs w:val="24"/>
        </w:rPr>
        <w:t>Justiciability</w:t>
      </w:r>
      <w:proofErr w:type="spellEnd"/>
      <w:r>
        <w:rPr>
          <w:b/>
          <w:sz w:val="24"/>
          <w:szCs w:val="24"/>
        </w:rPr>
        <w:tab/>
        <w:t>27</w:t>
      </w:r>
    </w:p>
    <w:p w:rsidR="00E44DD5" w:rsidRDefault="00E44DD5" w:rsidP="00E44DD5">
      <w:pPr>
        <w:pStyle w:val="ListParagraph"/>
        <w:numPr>
          <w:ilvl w:val="0"/>
          <w:numId w:val="17"/>
        </w:numPr>
        <w:tabs>
          <w:tab w:val="right" w:leader="dot" w:pos="8640"/>
        </w:tabs>
        <w:spacing w:after="0"/>
        <w:rPr>
          <w:b/>
          <w:sz w:val="24"/>
          <w:szCs w:val="24"/>
        </w:rPr>
      </w:pPr>
      <w:r>
        <w:rPr>
          <w:b/>
          <w:sz w:val="24"/>
          <w:szCs w:val="24"/>
        </w:rPr>
        <w:t xml:space="preserve">Court has </w:t>
      </w:r>
      <w:proofErr w:type="spellStart"/>
      <w:r>
        <w:rPr>
          <w:b/>
          <w:sz w:val="24"/>
          <w:szCs w:val="24"/>
        </w:rPr>
        <w:t>Jurisd</w:t>
      </w:r>
      <w:proofErr w:type="spellEnd"/>
      <w:r>
        <w:rPr>
          <w:b/>
          <w:sz w:val="24"/>
          <w:szCs w:val="24"/>
        </w:rPr>
        <w:t xml:space="preserve">. Under </w:t>
      </w:r>
      <w:r>
        <w:rPr>
          <w:rFonts w:cstheme="minorHAnsi"/>
          <w:b/>
          <w:sz w:val="24"/>
          <w:szCs w:val="24"/>
        </w:rPr>
        <w:t>§</w:t>
      </w:r>
      <w:r>
        <w:rPr>
          <w:b/>
          <w:sz w:val="24"/>
          <w:szCs w:val="24"/>
        </w:rPr>
        <w:t>1252(e)(3)</w:t>
      </w:r>
      <w:r>
        <w:rPr>
          <w:b/>
          <w:sz w:val="24"/>
          <w:szCs w:val="24"/>
        </w:rPr>
        <w:tab/>
        <w:t>28</w:t>
      </w:r>
    </w:p>
    <w:p w:rsidR="00E44DD5" w:rsidRDefault="00E44DD5" w:rsidP="00E44DD5">
      <w:pPr>
        <w:pStyle w:val="ListParagraph"/>
        <w:numPr>
          <w:ilvl w:val="1"/>
          <w:numId w:val="17"/>
        </w:numPr>
        <w:tabs>
          <w:tab w:val="right" w:leader="dot" w:pos="8640"/>
        </w:tabs>
        <w:spacing w:after="0"/>
        <w:rPr>
          <w:b/>
          <w:sz w:val="24"/>
          <w:szCs w:val="24"/>
        </w:rPr>
      </w:pPr>
      <w:r>
        <w:rPr>
          <w:b/>
          <w:sz w:val="24"/>
          <w:szCs w:val="24"/>
        </w:rPr>
        <w:t xml:space="preserve">To review </w:t>
      </w:r>
      <w:r>
        <w:rPr>
          <w:b/>
          <w:i/>
          <w:sz w:val="24"/>
          <w:szCs w:val="24"/>
        </w:rPr>
        <w:t>Matter of A-B-</w:t>
      </w:r>
      <w:r>
        <w:rPr>
          <w:b/>
          <w:sz w:val="24"/>
          <w:szCs w:val="24"/>
        </w:rPr>
        <w:tab/>
        <w:t>28</w:t>
      </w:r>
    </w:p>
    <w:p w:rsidR="00E44DD5" w:rsidRDefault="00E44DD5" w:rsidP="00E44DD5">
      <w:pPr>
        <w:pStyle w:val="ListParagraph"/>
        <w:numPr>
          <w:ilvl w:val="1"/>
          <w:numId w:val="17"/>
        </w:numPr>
        <w:tabs>
          <w:tab w:val="right" w:leader="dot" w:pos="8640"/>
        </w:tabs>
        <w:spacing w:after="0"/>
        <w:rPr>
          <w:b/>
          <w:sz w:val="24"/>
          <w:szCs w:val="24"/>
        </w:rPr>
      </w:pPr>
      <w:r>
        <w:rPr>
          <w:b/>
          <w:sz w:val="24"/>
          <w:szCs w:val="24"/>
        </w:rPr>
        <w:lastRenderedPageBreak/>
        <w:t>To review Policy Memorandum</w:t>
      </w:r>
      <w:r>
        <w:rPr>
          <w:b/>
          <w:sz w:val="24"/>
          <w:szCs w:val="24"/>
        </w:rPr>
        <w:tab/>
        <w:t>35</w:t>
      </w:r>
    </w:p>
    <w:p w:rsidR="00E44DD5" w:rsidRPr="00D86730" w:rsidRDefault="00E44DD5" w:rsidP="00D86730">
      <w:pPr>
        <w:pStyle w:val="ListParagraph"/>
        <w:numPr>
          <w:ilvl w:val="0"/>
          <w:numId w:val="17"/>
        </w:numPr>
        <w:tabs>
          <w:tab w:val="right" w:leader="dot" w:pos="8640"/>
        </w:tabs>
        <w:spacing w:after="0"/>
        <w:ind w:right="2880"/>
        <w:rPr>
          <w:b/>
          <w:sz w:val="24"/>
          <w:szCs w:val="24"/>
        </w:rPr>
      </w:pPr>
      <w:r>
        <w:rPr>
          <w:b/>
          <w:sz w:val="24"/>
          <w:szCs w:val="24"/>
        </w:rPr>
        <w:t>Plaintiffs have Standing to Challenge the Policy</w:t>
      </w:r>
      <w:r w:rsidR="00D86730">
        <w:rPr>
          <w:b/>
          <w:sz w:val="24"/>
          <w:szCs w:val="24"/>
        </w:rPr>
        <w:t xml:space="preserve"> </w:t>
      </w:r>
      <w:r w:rsidRPr="00D86730">
        <w:rPr>
          <w:b/>
          <w:sz w:val="24"/>
          <w:szCs w:val="24"/>
        </w:rPr>
        <w:t>Memorandum</w:t>
      </w:r>
      <w:r w:rsidRPr="00D86730">
        <w:rPr>
          <w:b/>
          <w:sz w:val="24"/>
          <w:szCs w:val="24"/>
        </w:rPr>
        <w:tab/>
        <w:t>38</w:t>
      </w:r>
    </w:p>
    <w:p w:rsidR="00E44DD5" w:rsidRDefault="00E44DD5" w:rsidP="00E44DD5">
      <w:pPr>
        <w:pStyle w:val="ListParagraph"/>
        <w:numPr>
          <w:ilvl w:val="0"/>
          <w:numId w:val="16"/>
        </w:numPr>
        <w:tabs>
          <w:tab w:val="right" w:leader="dot" w:pos="8640"/>
        </w:tabs>
        <w:spacing w:after="0"/>
        <w:rPr>
          <w:b/>
          <w:sz w:val="24"/>
          <w:szCs w:val="24"/>
        </w:rPr>
      </w:pPr>
      <w:r>
        <w:rPr>
          <w:b/>
          <w:sz w:val="24"/>
          <w:szCs w:val="24"/>
        </w:rPr>
        <w:t>Legal Standard for Plaintiffs’ Claims</w:t>
      </w:r>
      <w:r>
        <w:rPr>
          <w:b/>
          <w:sz w:val="24"/>
          <w:szCs w:val="24"/>
        </w:rPr>
        <w:tab/>
        <w:t>42</w:t>
      </w:r>
    </w:p>
    <w:p w:rsidR="00E44DD5" w:rsidRDefault="00E44DD5" w:rsidP="00E44DD5">
      <w:pPr>
        <w:pStyle w:val="ListParagraph"/>
        <w:numPr>
          <w:ilvl w:val="0"/>
          <w:numId w:val="16"/>
        </w:numPr>
        <w:tabs>
          <w:tab w:val="right" w:leader="dot" w:pos="8640"/>
        </w:tabs>
        <w:spacing w:after="0"/>
        <w:rPr>
          <w:b/>
          <w:sz w:val="24"/>
          <w:szCs w:val="24"/>
        </w:rPr>
      </w:pPr>
      <w:r>
        <w:rPr>
          <w:b/>
          <w:sz w:val="24"/>
          <w:szCs w:val="24"/>
        </w:rPr>
        <w:t>APA and Statutory Claims (re. new Credible Fear Policies)</w:t>
      </w:r>
      <w:r>
        <w:rPr>
          <w:b/>
          <w:sz w:val="24"/>
          <w:szCs w:val="24"/>
        </w:rPr>
        <w:tab/>
        <w:t>46</w:t>
      </w:r>
    </w:p>
    <w:p w:rsidR="00BE2C82" w:rsidRPr="00D86730" w:rsidRDefault="00E44DD5" w:rsidP="00D86730">
      <w:pPr>
        <w:pStyle w:val="ListParagraph"/>
        <w:numPr>
          <w:ilvl w:val="0"/>
          <w:numId w:val="18"/>
        </w:numPr>
        <w:tabs>
          <w:tab w:val="right" w:leader="dot" w:pos="8640"/>
        </w:tabs>
        <w:spacing w:after="0"/>
        <w:ind w:right="2880"/>
        <w:rPr>
          <w:b/>
          <w:sz w:val="24"/>
          <w:szCs w:val="24"/>
        </w:rPr>
      </w:pPr>
      <w:r>
        <w:rPr>
          <w:b/>
          <w:sz w:val="24"/>
          <w:szCs w:val="24"/>
        </w:rPr>
        <w:t xml:space="preserve">The General Rule Foreclosing Domestic Violence </w:t>
      </w:r>
      <w:r w:rsidR="00D86730" w:rsidRPr="00D86730">
        <w:rPr>
          <w:b/>
          <w:sz w:val="24"/>
          <w:szCs w:val="24"/>
        </w:rPr>
        <w:t>a</w:t>
      </w:r>
      <w:r w:rsidR="00BE2C82" w:rsidRPr="00D86730">
        <w:rPr>
          <w:b/>
          <w:sz w:val="24"/>
          <w:szCs w:val="24"/>
        </w:rPr>
        <w:t xml:space="preserve">nd </w:t>
      </w:r>
      <w:r w:rsidR="00D86730">
        <w:rPr>
          <w:b/>
          <w:sz w:val="24"/>
          <w:szCs w:val="24"/>
        </w:rPr>
        <w:t xml:space="preserve">Gang-Related Claims </w:t>
      </w:r>
      <w:r w:rsidR="00BE2C82" w:rsidRPr="00D86730">
        <w:rPr>
          <w:b/>
          <w:sz w:val="24"/>
          <w:szCs w:val="24"/>
        </w:rPr>
        <w:t>Violates the APA and</w:t>
      </w:r>
      <w:r w:rsidR="00D86730">
        <w:rPr>
          <w:b/>
          <w:sz w:val="24"/>
          <w:szCs w:val="24"/>
        </w:rPr>
        <w:t xml:space="preserve"> </w:t>
      </w:r>
      <w:r w:rsidR="00BE2C82" w:rsidRPr="00D86730">
        <w:rPr>
          <w:b/>
          <w:sz w:val="24"/>
          <w:szCs w:val="24"/>
        </w:rPr>
        <w:t>Immigration Laws</w:t>
      </w:r>
      <w:r w:rsidR="00BE2C82" w:rsidRPr="00D86730">
        <w:rPr>
          <w:b/>
          <w:sz w:val="24"/>
          <w:szCs w:val="24"/>
        </w:rPr>
        <w:tab/>
        <w:t>46</w:t>
      </w:r>
    </w:p>
    <w:p w:rsidR="00BE2C82" w:rsidRDefault="00BE2C82" w:rsidP="00BE2C82">
      <w:pPr>
        <w:pStyle w:val="ListParagraph"/>
        <w:numPr>
          <w:ilvl w:val="1"/>
          <w:numId w:val="18"/>
        </w:numPr>
        <w:tabs>
          <w:tab w:val="right" w:leader="dot" w:pos="8640"/>
        </w:tabs>
        <w:spacing w:after="0"/>
        <w:rPr>
          <w:b/>
          <w:sz w:val="24"/>
          <w:szCs w:val="24"/>
        </w:rPr>
      </w:pPr>
      <w:r>
        <w:rPr>
          <w:b/>
          <w:i/>
          <w:sz w:val="24"/>
          <w:szCs w:val="24"/>
        </w:rPr>
        <w:t xml:space="preserve">Chevron </w:t>
      </w:r>
      <w:r>
        <w:rPr>
          <w:b/>
          <w:sz w:val="24"/>
          <w:szCs w:val="24"/>
        </w:rPr>
        <w:t>Step One: PSG is ambiguous</w:t>
      </w:r>
      <w:r>
        <w:rPr>
          <w:b/>
          <w:sz w:val="24"/>
          <w:szCs w:val="24"/>
        </w:rPr>
        <w:tab/>
        <w:t>48</w:t>
      </w:r>
    </w:p>
    <w:p w:rsidR="00BE2C82" w:rsidRPr="00D86730" w:rsidRDefault="00BE2C82" w:rsidP="00D86730">
      <w:pPr>
        <w:pStyle w:val="ListParagraph"/>
        <w:numPr>
          <w:ilvl w:val="1"/>
          <w:numId w:val="18"/>
        </w:numPr>
        <w:tabs>
          <w:tab w:val="right" w:leader="dot" w:pos="8640"/>
        </w:tabs>
        <w:spacing w:after="0"/>
        <w:ind w:right="2880"/>
        <w:rPr>
          <w:b/>
          <w:sz w:val="24"/>
          <w:szCs w:val="24"/>
        </w:rPr>
      </w:pPr>
      <w:r>
        <w:rPr>
          <w:b/>
          <w:i/>
          <w:sz w:val="24"/>
          <w:szCs w:val="24"/>
        </w:rPr>
        <w:t xml:space="preserve">Chevron </w:t>
      </w:r>
      <w:r>
        <w:rPr>
          <w:b/>
          <w:sz w:val="24"/>
          <w:szCs w:val="24"/>
        </w:rPr>
        <w:t>Step Two: Precluding DV and</w:t>
      </w:r>
      <w:r w:rsidR="00D86730">
        <w:rPr>
          <w:b/>
          <w:sz w:val="24"/>
          <w:szCs w:val="24"/>
        </w:rPr>
        <w:t xml:space="preserve"> </w:t>
      </w:r>
      <w:r w:rsidRPr="00D86730">
        <w:rPr>
          <w:b/>
          <w:sz w:val="24"/>
          <w:szCs w:val="24"/>
        </w:rPr>
        <w:t>Gang-Related Claims at Credible Fear Stage</w:t>
      </w:r>
      <w:r w:rsidR="00D86730">
        <w:rPr>
          <w:b/>
          <w:sz w:val="24"/>
          <w:szCs w:val="24"/>
        </w:rPr>
        <w:t xml:space="preserve"> </w:t>
      </w:r>
      <w:r w:rsidR="00D86730" w:rsidRPr="00D86730">
        <w:rPr>
          <w:b/>
          <w:sz w:val="24"/>
          <w:szCs w:val="24"/>
        </w:rPr>
        <w:t>i</w:t>
      </w:r>
      <w:r w:rsidRPr="00D86730">
        <w:rPr>
          <w:b/>
          <w:sz w:val="24"/>
          <w:szCs w:val="24"/>
        </w:rPr>
        <w:t>s an Impermissible Reading of the Statute and</w:t>
      </w:r>
      <w:r w:rsidR="00D86730">
        <w:rPr>
          <w:b/>
          <w:sz w:val="24"/>
          <w:szCs w:val="24"/>
        </w:rPr>
        <w:t xml:space="preserve"> </w:t>
      </w:r>
      <w:r w:rsidR="00D86730" w:rsidRPr="00D86730">
        <w:rPr>
          <w:b/>
          <w:sz w:val="24"/>
          <w:szCs w:val="24"/>
        </w:rPr>
        <w:t>i</w:t>
      </w:r>
      <w:r w:rsidRPr="00D86730">
        <w:rPr>
          <w:b/>
          <w:sz w:val="24"/>
          <w:szCs w:val="24"/>
        </w:rPr>
        <w:t>s Arbitrary and Capricious</w:t>
      </w:r>
      <w:r w:rsidRPr="00D86730">
        <w:rPr>
          <w:b/>
          <w:sz w:val="24"/>
          <w:szCs w:val="24"/>
        </w:rPr>
        <w:tab/>
        <w:t>53</w:t>
      </w:r>
    </w:p>
    <w:p w:rsidR="00BE2C82" w:rsidRPr="00D86730" w:rsidRDefault="00BE2C82" w:rsidP="00D86730">
      <w:pPr>
        <w:pStyle w:val="ListParagraph"/>
        <w:numPr>
          <w:ilvl w:val="0"/>
          <w:numId w:val="18"/>
        </w:numPr>
        <w:tabs>
          <w:tab w:val="right" w:leader="dot" w:pos="8640"/>
        </w:tabs>
        <w:spacing w:after="0"/>
        <w:ind w:right="2880"/>
        <w:rPr>
          <w:b/>
          <w:sz w:val="24"/>
          <w:szCs w:val="24"/>
        </w:rPr>
      </w:pPr>
      <w:r>
        <w:rPr>
          <w:b/>
          <w:sz w:val="24"/>
          <w:szCs w:val="24"/>
        </w:rPr>
        <w:t>Persecution: the “Condoned or Complete</w:t>
      </w:r>
      <w:r w:rsidR="00D86730">
        <w:rPr>
          <w:b/>
          <w:sz w:val="24"/>
          <w:szCs w:val="24"/>
        </w:rPr>
        <w:t xml:space="preserve"> </w:t>
      </w:r>
      <w:r w:rsidRPr="00D86730">
        <w:rPr>
          <w:b/>
          <w:sz w:val="24"/>
          <w:szCs w:val="24"/>
        </w:rPr>
        <w:t>Helplessness” Standard Violates APA &amp; INA</w:t>
      </w:r>
      <w:r w:rsidRPr="00D86730">
        <w:rPr>
          <w:b/>
          <w:sz w:val="24"/>
          <w:szCs w:val="24"/>
        </w:rPr>
        <w:tab/>
        <w:t>59</w:t>
      </w:r>
    </w:p>
    <w:p w:rsidR="00BE2C82" w:rsidRPr="00D86730" w:rsidRDefault="00BE2C82" w:rsidP="00D86730">
      <w:pPr>
        <w:pStyle w:val="ListParagraph"/>
        <w:numPr>
          <w:ilvl w:val="1"/>
          <w:numId w:val="18"/>
        </w:numPr>
        <w:tabs>
          <w:tab w:val="right" w:leader="dot" w:pos="8640"/>
        </w:tabs>
        <w:spacing w:after="0"/>
        <w:ind w:right="2880"/>
        <w:rPr>
          <w:b/>
          <w:sz w:val="24"/>
          <w:szCs w:val="24"/>
        </w:rPr>
      </w:pPr>
      <w:r>
        <w:rPr>
          <w:b/>
          <w:i/>
          <w:sz w:val="24"/>
          <w:szCs w:val="24"/>
        </w:rPr>
        <w:t xml:space="preserve">Chevron </w:t>
      </w:r>
      <w:r>
        <w:rPr>
          <w:b/>
          <w:sz w:val="24"/>
          <w:szCs w:val="24"/>
        </w:rPr>
        <w:t>Step One: The Term “Persecution”</w:t>
      </w:r>
      <w:r w:rsidR="00D86730">
        <w:rPr>
          <w:b/>
          <w:sz w:val="24"/>
          <w:szCs w:val="24"/>
        </w:rPr>
        <w:t xml:space="preserve"> </w:t>
      </w:r>
      <w:r w:rsidR="00D86730" w:rsidRPr="00D86730">
        <w:rPr>
          <w:b/>
          <w:sz w:val="24"/>
          <w:szCs w:val="24"/>
        </w:rPr>
        <w:t>i</w:t>
      </w:r>
      <w:r w:rsidRPr="00D86730">
        <w:rPr>
          <w:b/>
          <w:sz w:val="24"/>
          <w:szCs w:val="24"/>
        </w:rPr>
        <w:t>s not Ambiguous</w:t>
      </w:r>
      <w:r w:rsidRPr="00D86730">
        <w:rPr>
          <w:b/>
          <w:sz w:val="24"/>
          <w:szCs w:val="24"/>
        </w:rPr>
        <w:tab/>
        <w:t>60</w:t>
      </w:r>
    </w:p>
    <w:p w:rsidR="00BE2C82" w:rsidRDefault="00BE2C82" w:rsidP="00BE2C82">
      <w:pPr>
        <w:pStyle w:val="ListParagraph"/>
        <w:numPr>
          <w:ilvl w:val="0"/>
          <w:numId w:val="18"/>
        </w:numPr>
        <w:tabs>
          <w:tab w:val="right" w:leader="dot" w:pos="8640"/>
        </w:tabs>
        <w:spacing w:after="0"/>
        <w:rPr>
          <w:b/>
          <w:sz w:val="24"/>
          <w:szCs w:val="24"/>
        </w:rPr>
      </w:pPr>
      <w:r>
        <w:rPr>
          <w:b/>
          <w:sz w:val="24"/>
          <w:szCs w:val="24"/>
        </w:rPr>
        <w:t>Nexus: no new standard found</w:t>
      </w:r>
      <w:r>
        <w:rPr>
          <w:b/>
          <w:sz w:val="24"/>
          <w:szCs w:val="24"/>
        </w:rPr>
        <w:tab/>
        <w:t>66</w:t>
      </w:r>
    </w:p>
    <w:p w:rsidR="00BE2C82" w:rsidRPr="00D86730" w:rsidRDefault="00BE2C82" w:rsidP="00D86730">
      <w:pPr>
        <w:pStyle w:val="ListParagraph"/>
        <w:numPr>
          <w:ilvl w:val="0"/>
          <w:numId w:val="18"/>
        </w:numPr>
        <w:tabs>
          <w:tab w:val="right" w:leader="dot" w:pos="8640"/>
        </w:tabs>
        <w:spacing w:after="0"/>
        <w:ind w:right="2880"/>
        <w:rPr>
          <w:b/>
          <w:sz w:val="24"/>
          <w:szCs w:val="24"/>
        </w:rPr>
      </w:pPr>
      <w:r>
        <w:rPr>
          <w:b/>
          <w:sz w:val="24"/>
          <w:szCs w:val="24"/>
        </w:rPr>
        <w:t>Circularity: The Policy Memorandum’</w:t>
      </w:r>
      <w:r w:rsidR="00D86730">
        <w:rPr>
          <w:b/>
          <w:sz w:val="24"/>
          <w:szCs w:val="24"/>
        </w:rPr>
        <w:t xml:space="preserve">s </w:t>
      </w:r>
      <w:r>
        <w:rPr>
          <w:b/>
          <w:sz w:val="24"/>
          <w:szCs w:val="24"/>
        </w:rPr>
        <w:t>Interpretation</w:t>
      </w:r>
      <w:r w:rsidR="00D86730">
        <w:rPr>
          <w:b/>
          <w:sz w:val="24"/>
          <w:szCs w:val="24"/>
        </w:rPr>
        <w:t xml:space="preserve"> </w:t>
      </w:r>
      <w:r w:rsidR="00D86730" w:rsidRPr="00D86730">
        <w:rPr>
          <w:b/>
          <w:sz w:val="24"/>
          <w:szCs w:val="24"/>
        </w:rPr>
        <w:t>o</w:t>
      </w:r>
      <w:r w:rsidRPr="00D86730">
        <w:rPr>
          <w:b/>
          <w:sz w:val="24"/>
          <w:szCs w:val="24"/>
        </w:rPr>
        <w:t>f the Circularit</w:t>
      </w:r>
      <w:r w:rsidR="00D86730">
        <w:rPr>
          <w:b/>
          <w:sz w:val="24"/>
          <w:szCs w:val="24"/>
        </w:rPr>
        <w:t xml:space="preserve">y Requirement </w:t>
      </w:r>
      <w:r w:rsidRPr="00D86730">
        <w:rPr>
          <w:b/>
          <w:sz w:val="24"/>
          <w:szCs w:val="24"/>
        </w:rPr>
        <w:t>Violates APA &amp; INA</w:t>
      </w:r>
      <w:r w:rsidRPr="00D86730">
        <w:rPr>
          <w:b/>
          <w:sz w:val="24"/>
          <w:szCs w:val="24"/>
        </w:rPr>
        <w:tab/>
        <w:t>69</w:t>
      </w:r>
    </w:p>
    <w:p w:rsidR="00BE2C82" w:rsidRPr="00D86730" w:rsidRDefault="00BE2C82" w:rsidP="00D86730">
      <w:pPr>
        <w:pStyle w:val="ListParagraph"/>
        <w:numPr>
          <w:ilvl w:val="0"/>
          <w:numId w:val="18"/>
        </w:numPr>
        <w:tabs>
          <w:tab w:val="right" w:leader="dot" w:pos="8640"/>
        </w:tabs>
        <w:spacing w:after="0"/>
        <w:ind w:right="2880"/>
        <w:rPr>
          <w:b/>
          <w:sz w:val="24"/>
          <w:szCs w:val="24"/>
        </w:rPr>
      </w:pPr>
      <w:r>
        <w:rPr>
          <w:b/>
          <w:sz w:val="24"/>
          <w:szCs w:val="24"/>
        </w:rPr>
        <w:t xml:space="preserve">No </w:t>
      </w:r>
      <w:proofErr w:type="spellStart"/>
      <w:r>
        <w:rPr>
          <w:b/>
          <w:sz w:val="24"/>
          <w:szCs w:val="24"/>
        </w:rPr>
        <w:t>probs</w:t>
      </w:r>
      <w:proofErr w:type="spellEnd"/>
      <w:r>
        <w:rPr>
          <w:b/>
          <w:sz w:val="24"/>
          <w:szCs w:val="24"/>
        </w:rPr>
        <w:t xml:space="preserve"> with Discretion &amp; Delineation except in</w:t>
      </w:r>
      <w:r w:rsidR="00D86730">
        <w:rPr>
          <w:b/>
          <w:sz w:val="24"/>
          <w:szCs w:val="24"/>
        </w:rPr>
        <w:t xml:space="preserve"> </w:t>
      </w:r>
      <w:r w:rsidRPr="00D86730">
        <w:rPr>
          <w:b/>
          <w:sz w:val="24"/>
          <w:szCs w:val="24"/>
        </w:rPr>
        <w:t>Policy Memorandum</w:t>
      </w:r>
      <w:r w:rsidRPr="00D86730">
        <w:rPr>
          <w:b/>
          <w:sz w:val="24"/>
          <w:szCs w:val="24"/>
        </w:rPr>
        <w:tab/>
        <w:t>75</w:t>
      </w:r>
    </w:p>
    <w:p w:rsidR="00BE2C82" w:rsidRPr="00D86730" w:rsidRDefault="00BE2C82" w:rsidP="00D86730">
      <w:pPr>
        <w:pStyle w:val="ListParagraph"/>
        <w:numPr>
          <w:ilvl w:val="0"/>
          <w:numId w:val="18"/>
        </w:numPr>
        <w:tabs>
          <w:tab w:val="right" w:leader="dot" w:pos="8640"/>
        </w:tabs>
        <w:spacing w:after="0"/>
        <w:ind w:right="2880"/>
        <w:rPr>
          <w:b/>
          <w:sz w:val="24"/>
          <w:szCs w:val="24"/>
        </w:rPr>
      </w:pPr>
      <w:r>
        <w:rPr>
          <w:b/>
          <w:sz w:val="24"/>
          <w:szCs w:val="24"/>
        </w:rPr>
        <w:t>The Policy Memorandum’s Requirements Related to</w:t>
      </w:r>
      <w:r w:rsidR="00D86730">
        <w:rPr>
          <w:b/>
          <w:sz w:val="24"/>
          <w:szCs w:val="24"/>
        </w:rPr>
        <w:t xml:space="preserve"> </w:t>
      </w:r>
      <w:r w:rsidRPr="00D86730">
        <w:rPr>
          <w:b/>
          <w:sz w:val="24"/>
          <w:szCs w:val="24"/>
        </w:rPr>
        <w:t xml:space="preserve">Asylum Officer’s </w:t>
      </w:r>
      <w:proofErr w:type="spellStart"/>
      <w:r w:rsidRPr="00D86730">
        <w:rPr>
          <w:b/>
          <w:sz w:val="24"/>
          <w:szCs w:val="24"/>
        </w:rPr>
        <w:t>Appl</w:t>
      </w:r>
      <w:proofErr w:type="spellEnd"/>
      <w:r w:rsidRPr="00D86730">
        <w:rPr>
          <w:b/>
          <w:sz w:val="24"/>
          <w:szCs w:val="24"/>
        </w:rPr>
        <w:t xml:space="preserve"> of Circ. Law Unlawful</w:t>
      </w:r>
      <w:r w:rsidRPr="00D86730">
        <w:rPr>
          <w:b/>
          <w:sz w:val="24"/>
          <w:szCs w:val="24"/>
        </w:rPr>
        <w:tab/>
        <w:t>79</w:t>
      </w:r>
    </w:p>
    <w:p w:rsidR="00BE2C82" w:rsidRDefault="00BE2C82" w:rsidP="00BE2C82">
      <w:pPr>
        <w:pStyle w:val="ListParagraph"/>
        <w:numPr>
          <w:ilvl w:val="1"/>
          <w:numId w:val="18"/>
        </w:numPr>
        <w:tabs>
          <w:tab w:val="right" w:leader="dot" w:pos="8640"/>
        </w:tabs>
        <w:spacing w:after="0"/>
        <w:rPr>
          <w:b/>
          <w:sz w:val="24"/>
          <w:szCs w:val="24"/>
        </w:rPr>
      </w:pPr>
      <w:r>
        <w:rPr>
          <w:b/>
          <w:sz w:val="24"/>
          <w:szCs w:val="24"/>
        </w:rPr>
        <w:t xml:space="preserve">Violates </w:t>
      </w:r>
      <w:r>
        <w:rPr>
          <w:b/>
          <w:i/>
          <w:sz w:val="24"/>
          <w:szCs w:val="24"/>
        </w:rPr>
        <w:t>Brand X</w:t>
      </w:r>
      <w:r>
        <w:rPr>
          <w:b/>
          <w:sz w:val="24"/>
          <w:szCs w:val="24"/>
        </w:rPr>
        <w:tab/>
        <w:t>81</w:t>
      </w:r>
    </w:p>
    <w:p w:rsidR="00BE2C82" w:rsidRDefault="00BE2C82" w:rsidP="00BE2C82">
      <w:pPr>
        <w:pStyle w:val="ListParagraph"/>
        <w:numPr>
          <w:ilvl w:val="1"/>
          <w:numId w:val="18"/>
        </w:numPr>
        <w:tabs>
          <w:tab w:val="right" w:leader="dot" w:pos="8640"/>
        </w:tabs>
        <w:spacing w:after="0"/>
        <w:rPr>
          <w:b/>
          <w:sz w:val="24"/>
          <w:szCs w:val="24"/>
        </w:rPr>
      </w:pPr>
      <w:r>
        <w:rPr>
          <w:b/>
          <w:sz w:val="24"/>
          <w:szCs w:val="24"/>
        </w:rPr>
        <w:t>Violates APA &amp; INA</w:t>
      </w:r>
      <w:r>
        <w:rPr>
          <w:b/>
          <w:sz w:val="24"/>
          <w:szCs w:val="24"/>
        </w:rPr>
        <w:tab/>
        <w:t>87</w:t>
      </w:r>
    </w:p>
    <w:p w:rsidR="00BE2C82" w:rsidRDefault="00BE2C82" w:rsidP="00BE2C82">
      <w:pPr>
        <w:pStyle w:val="ListParagraph"/>
        <w:numPr>
          <w:ilvl w:val="0"/>
          <w:numId w:val="16"/>
        </w:numPr>
        <w:tabs>
          <w:tab w:val="right" w:leader="dot" w:pos="8640"/>
        </w:tabs>
        <w:spacing w:after="0"/>
        <w:rPr>
          <w:b/>
          <w:sz w:val="24"/>
          <w:szCs w:val="24"/>
        </w:rPr>
      </w:pPr>
      <w:r>
        <w:rPr>
          <w:b/>
          <w:sz w:val="24"/>
          <w:szCs w:val="24"/>
        </w:rPr>
        <w:t>Relief Sought</w:t>
      </w:r>
      <w:r>
        <w:rPr>
          <w:b/>
          <w:sz w:val="24"/>
          <w:szCs w:val="24"/>
        </w:rPr>
        <w:tab/>
        <w:t>93</w:t>
      </w:r>
    </w:p>
    <w:p w:rsidR="00BE2C82" w:rsidRDefault="00BE2C82" w:rsidP="00BE2C82">
      <w:pPr>
        <w:pStyle w:val="ListParagraph"/>
        <w:numPr>
          <w:ilvl w:val="0"/>
          <w:numId w:val="19"/>
        </w:numPr>
        <w:tabs>
          <w:tab w:val="right" w:leader="dot" w:pos="8640"/>
        </w:tabs>
        <w:spacing w:after="0"/>
        <w:rPr>
          <w:b/>
          <w:sz w:val="24"/>
          <w:szCs w:val="24"/>
        </w:rPr>
      </w:pPr>
      <w:r>
        <w:rPr>
          <w:rFonts w:cstheme="minorHAnsi"/>
          <w:b/>
          <w:sz w:val="24"/>
          <w:szCs w:val="24"/>
        </w:rPr>
        <w:t>§</w:t>
      </w:r>
      <w:r>
        <w:rPr>
          <w:b/>
          <w:sz w:val="24"/>
          <w:szCs w:val="24"/>
        </w:rPr>
        <w:t>1252 Does not Bar Equitable Relief</w:t>
      </w:r>
      <w:r>
        <w:rPr>
          <w:b/>
          <w:sz w:val="24"/>
          <w:szCs w:val="24"/>
        </w:rPr>
        <w:tab/>
        <w:t>94</w:t>
      </w:r>
    </w:p>
    <w:p w:rsidR="00BE2C82" w:rsidRPr="00BE2C82" w:rsidRDefault="00BE2C82" w:rsidP="00BE2C82">
      <w:pPr>
        <w:pStyle w:val="ListParagraph"/>
        <w:numPr>
          <w:ilvl w:val="1"/>
          <w:numId w:val="19"/>
        </w:numPr>
        <w:tabs>
          <w:tab w:val="right" w:leader="dot" w:pos="8640"/>
        </w:tabs>
        <w:spacing w:after="0"/>
        <w:rPr>
          <w:b/>
          <w:sz w:val="24"/>
          <w:szCs w:val="24"/>
        </w:rPr>
      </w:pPr>
      <w:r>
        <w:rPr>
          <w:rFonts w:cstheme="minorHAnsi"/>
          <w:b/>
          <w:sz w:val="24"/>
          <w:szCs w:val="24"/>
        </w:rPr>
        <w:t>§1252(e)(1)</w:t>
      </w:r>
      <w:r>
        <w:rPr>
          <w:rFonts w:cstheme="minorHAnsi"/>
          <w:b/>
          <w:sz w:val="24"/>
          <w:szCs w:val="24"/>
        </w:rPr>
        <w:tab/>
        <w:t>94</w:t>
      </w:r>
    </w:p>
    <w:p w:rsidR="00BE2C82" w:rsidRPr="00BE2C82" w:rsidRDefault="00BE2C82" w:rsidP="00BE2C82">
      <w:pPr>
        <w:pStyle w:val="ListParagraph"/>
        <w:numPr>
          <w:ilvl w:val="1"/>
          <w:numId w:val="19"/>
        </w:numPr>
        <w:tabs>
          <w:tab w:val="right" w:leader="dot" w:pos="8640"/>
        </w:tabs>
        <w:spacing w:after="0"/>
        <w:rPr>
          <w:b/>
          <w:sz w:val="24"/>
          <w:szCs w:val="24"/>
        </w:rPr>
      </w:pPr>
      <w:r>
        <w:rPr>
          <w:rFonts w:cstheme="minorHAnsi"/>
          <w:b/>
          <w:sz w:val="24"/>
          <w:szCs w:val="24"/>
        </w:rPr>
        <w:t>§1252(f)</w:t>
      </w:r>
      <w:r>
        <w:rPr>
          <w:rFonts w:cstheme="minorHAnsi"/>
          <w:b/>
          <w:sz w:val="24"/>
          <w:szCs w:val="24"/>
        </w:rPr>
        <w:tab/>
        <w:t>98</w:t>
      </w:r>
    </w:p>
    <w:p w:rsidR="00BE2C82" w:rsidRPr="00D86730" w:rsidRDefault="00BE2C82" w:rsidP="00D86730">
      <w:pPr>
        <w:pStyle w:val="ListParagraph"/>
        <w:numPr>
          <w:ilvl w:val="0"/>
          <w:numId w:val="19"/>
        </w:numPr>
        <w:tabs>
          <w:tab w:val="right" w:leader="dot" w:pos="8640"/>
        </w:tabs>
        <w:spacing w:after="0"/>
        <w:ind w:right="2880"/>
        <w:rPr>
          <w:b/>
          <w:sz w:val="24"/>
          <w:szCs w:val="24"/>
        </w:rPr>
      </w:pPr>
      <w:r>
        <w:rPr>
          <w:rFonts w:cstheme="minorHAnsi"/>
          <w:b/>
          <w:sz w:val="24"/>
          <w:szCs w:val="24"/>
        </w:rPr>
        <w:t>The Court Has the Authority to Order the Return</w:t>
      </w:r>
      <w:r w:rsidR="00D86730">
        <w:rPr>
          <w:rFonts w:cstheme="minorHAnsi"/>
          <w:b/>
          <w:sz w:val="24"/>
          <w:szCs w:val="24"/>
        </w:rPr>
        <w:t xml:space="preserve"> </w:t>
      </w:r>
      <w:r w:rsidR="00D86730" w:rsidRPr="00D86730">
        <w:rPr>
          <w:rFonts w:cstheme="minorHAnsi"/>
          <w:b/>
          <w:sz w:val="24"/>
          <w:szCs w:val="24"/>
        </w:rPr>
        <w:t>o</w:t>
      </w:r>
      <w:r w:rsidRPr="00D86730">
        <w:rPr>
          <w:rFonts w:cstheme="minorHAnsi"/>
          <w:b/>
          <w:sz w:val="24"/>
          <w:szCs w:val="24"/>
        </w:rPr>
        <w:t>f Plaintiffs Unlawfully Removed</w:t>
      </w:r>
      <w:r w:rsidRPr="00D86730">
        <w:rPr>
          <w:rFonts w:cstheme="minorHAnsi"/>
          <w:b/>
          <w:sz w:val="24"/>
          <w:szCs w:val="24"/>
        </w:rPr>
        <w:tab/>
        <w:t>101</w:t>
      </w:r>
    </w:p>
    <w:p w:rsidR="00BE2C82" w:rsidRPr="00D86730" w:rsidRDefault="00BE2C82" w:rsidP="00D86730">
      <w:pPr>
        <w:pStyle w:val="ListParagraph"/>
        <w:numPr>
          <w:ilvl w:val="0"/>
          <w:numId w:val="19"/>
        </w:numPr>
        <w:tabs>
          <w:tab w:val="right" w:leader="dot" w:pos="8640"/>
        </w:tabs>
        <w:spacing w:after="0"/>
        <w:ind w:right="2880"/>
        <w:rPr>
          <w:b/>
          <w:sz w:val="24"/>
          <w:szCs w:val="24"/>
        </w:rPr>
      </w:pPr>
      <w:r>
        <w:rPr>
          <w:rFonts w:cstheme="minorHAnsi"/>
          <w:b/>
          <w:sz w:val="24"/>
          <w:szCs w:val="24"/>
        </w:rPr>
        <w:t>Permanent Injunction Factors Require Permanent</w:t>
      </w:r>
      <w:r w:rsidR="00D86730">
        <w:rPr>
          <w:rFonts w:cstheme="minorHAnsi"/>
          <w:b/>
          <w:sz w:val="24"/>
          <w:szCs w:val="24"/>
        </w:rPr>
        <w:t xml:space="preserve"> </w:t>
      </w:r>
      <w:r w:rsidRPr="00D86730">
        <w:rPr>
          <w:rFonts w:cstheme="minorHAnsi"/>
          <w:b/>
          <w:sz w:val="24"/>
          <w:szCs w:val="24"/>
        </w:rPr>
        <w:t>Injunctive Relief</w:t>
      </w:r>
      <w:r w:rsidRPr="00D86730">
        <w:rPr>
          <w:rFonts w:cstheme="minorHAnsi"/>
          <w:b/>
          <w:sz w:val="24"/>
          <w:szCs w:val="24"/>
        </w:rPr>
        <w:tab/>
        <w:t>104</w:t>
      </w:r>
    </w:p>
    <w:p w:rsidR="00BE2C82" w:rsidRPr="00BE2C82" w:rsidRDefault="00BE2C82" w:rsidP="00BE2C82">
      <w:pPr>
        <w:pStyle w:val="ListParagraph"/>
        <w:numPr>
          <w:ilvl w:val="0"/>
          <w:numId w:val="9"/>
        </w:numPr>
        <w:tabs>
          <w:tab w:val="right" w:leader="dot" w:pos="8640"/>
        </w:tabs>
        <w:spacing w:after="0"/>
        <w:rPr>
          <w:b/>
          <w:sz w:val="24"/>
          <w:szCs w:val="24"/>
        </w:rPr>
      </w:pPr>
      <w:r>
        <w:rPr>
          <w:rFonts w:cstheme="minorHAnsi"/>
          <w:b/>
          <w:sz w:val="24"/>
          <w:szCs w:val="24"/>
        </w:rPr>
        <w:t>Conclusion</w:t>
      </w:r>
      <w:r>
        <w:rPr>
          <w:rFonts w:cstheme="minorHAnsi"/>
          <w:b/>
          <w:sz w:val="24"/>
          <w:szCs w:val="24"/>
        </w:rPr>
        <w:tab/>
        <w:t>107</w:t>
      </w:r>
    </w:p>
    <w:sectPr w:rsidR="00BE2C82" w:rsidRPr="00BE2C82" w:rsidSect="00E16E68">
      <w:headerReference w:type="default" r:id="rId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001A" w:rsidRDefault="002E001A" w:rsidP="00E16E68">
      <w:pPr>
        <w:spacing w:after="0" w:line="240" w:lineRule="auto"/>
      </w:pPr>
      <w:r>
        <w:separator/>
      </w:r>
    </w:p>
  </w:endnote>
  <w:endnote w:type="continuationSeparator" w:id="0">
    <w:p w:rsidR="002E001A" w:rsidRDefault="002E001A"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001A" w:rsidRDefault="002E001A" w:rsidP="00E16E68">
      <w:pPr>
        <w:spacing w:after="0" w:line="240" w:lineRule="auto"/>
      </w:pPr>
      <w:r>
        <w:separator/>
      </w:r>
    </w:p>
  </w:footnote>
  <w:footnote w:type="continuationSeparator" w:id="0">
    <w:p w:rsidR="002E001A" w:rsidRDefault="002E001A" w:rsidP="00E16E68">
      <w:pPr>
        <w:spacing w:after="0" w:line="240" w:lineRule="auto"/>
      </w:pPr>
      <w:r>
        <w:continuationSeparator/>
      </w:r>
    </w:p>
  </w:footnote>
  <w:footnote w:id="1">
    <w:p w:rsidR="00602342" w:rsidRDefault="00602342">
      <w:pPr>
        <w:pStyle w:val="FootnoteText"/>
      </w:pPr>
      <w:r>
        <w:rPr>
          <w:rStyle w:val="FootnoteReference"/>
        </w:rPr>
        <w:footnoteRef/>
      </w:r>
      <w:r>
        <w:t xml:space="preserve"> Page numbers are from </w:t>
      </w:r>
      <w:proofErr w:type="spellStart"/>
      <w:r>
        <w:t>pdf</w:t>
      </w:r>
      <w:proofErr w:type="spellEnd"/>
      <w:r>
        <w:t xml:space="preserve"> (USDCDC).</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470E43" w:rsidP="000933B7">
    <w:pPr>
      <w:pStyle w:val="Header"/>
      <w:jc w:val="right"/>
    </w:pPr>
    <w:r>
      <w:rPr>
        <w:color w:val="7F7F7F" w:themeColor="background1" w:themeShade="7F"/>
        <w:spacing w:val="60"/>
      </w:rPr>
      <w:t>Page</w:t>
    </w:r>
    <w:r>
      <w:t xml:space="preserve"> | </w:t>
    </w:r>
    <w:fldSimple w:instr=" PAGE   \* MERGEFORMAT ">
      <w:r w:rsidR="001C360D" w:rsidRPr="001C360D">
        <w:rPr>
          <w:b/>
          <w:noProof/>
        </w:rPr>
        <w:t>1</w:t>
      </w:r>
    </w:fldSimple>
    <w:r w:rsidR="006067CB">
      <w:t xml:space="preserve"> </w:t>
    </w:r>
    <w:r>
      <w:t xml:space="preserve">  </w:t>
    </w:r>
    <w:r w:rsidR="00731294">
      <w:t>Federal District</w:t>
    </w:r>
    <w:r w:rsidR="0016476D">
      <w:t xml:space="preserve"> Court</w:t>
    </w:r>
    <w:r w:rsidR="009F6A2F">
      <w:t>: DC</w:t>
    </w:r>
    <w:r w:rsidR="00E16E68">
      <w:tab/>
    </w:r>
    <w:r w:rsidR="009F6A2F">
      <w:t>2018</w:t>
    </w:r>
    <w:r w:rsidR="00E16E68">
      <w:tab/>
    </w:r>
    <w:r w:rsidR="009F6A2F">
      <w:rPr>
        <w:i/>
      </w:rPr>
      <w:t>Grace v. Whitaker (A.G.)</w:t>
    </w:r>
  </w:p>
  <w:p w:rsidR="00F95A0E" w:rsidRDefault="00F95A0E" w:rsidP="00F95A0E">
    <w:pPr>
      <w:pStyle w:val="Header"/>
      <w:jc w:val="right"/>
    </w:pPr>
    <w:r>
      <w:tab/>
    </w:r>
    <w:r>
      <w:tab/>
    </w:r>
    <w:r w:rsidR="009F6A2F">
      <w:t>DV ASYLUM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04F0A"/>
    <w:multiLevelType w:val="hybridMultilevel"/>
    <w:tmpl w:val="BC4896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BB7507"/>
    <w:multiLevelType w:val="hybridMultilevel"/>
    <w:tmpl w:val="AAF4C41A"/>
    <w:lvl w:ilvl="0" w:tplc="062AD464">
      <w:start w:val="1"/>
      <w:numFmt w:val="decimal"/>
      <w:lvlText w:val="%1."/>
      <w:lvlJc w:val="left"/>
      <w:pPr>
        <w:ind w:left="2880" w:hanging="360"/>
      </w:pPr>
      <w:rPr>
        <w:rFonts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
    <w:nsid w:val="28241EA2"/>
    <w:multiLevelType w:val="hybridMultilevel"/>
    <w:tmpl w:val="2E4A59B4"/>
    <w:lvl w:ilvl="0" w:tplc="B0BA5304">
      <w:start w:val="1"/>
      <w:numFmt w:val="decimal"/>
      <w:lvlText w:val="%1."/>
      <w:lvlJc w:val="left"/>
      <w:pPr>
        <w:ind w:left="2880" w:hanging="360"/>
      </w:pPr>
      <w:rPr>
        <w:rFonts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nsid w:val="32470C86"/>
    <w:multiLevelType w:val="hybridMultilevel"/>
    <w:tmpl w:val="1D3011F0"/>
    <w:lvl w:ilvl="0" w:tplc="A70E604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E5073B"/>
    <w:multiLevelType w:val="hybridMultilevel"/>
    <w:tmpl w:val="E53853A4"/>
    <w:lvl w:ilvl="0" w:tplc="21727DCE">
      <w:start w:val="1"/>
      <w:numFmt w:val="upperRoman"/>
      <w:lvlText w:val="%1."/>
      <w:lvlJc w:val="left"/>
      <w:pPr>
        <w:ind w:left="2160" w:hanging="72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4C3B3769"/>
    <w:multiLevelType w:val="hybridMultilevel"/>
    <w:tmpl w:val="2C6C9A42"/>
    <w:lvl w:ilvl="0" w:tplc="C860BAA6">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6F0D99"/>
    <w:multiLevelType w:val="hybridMultilevel"/>
    <w:tmpl w:val="06F09410"/>
    <w:lvl w:ilvl="0" w:tplc="B8482A3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06E4301"/>
    <w:multiLevelType w:val="hybridMultilevel"/>
    <w:tmpl w:val="6AE0B366"/>
    <w:lvl w:ilvl="0" w:tplc="CD748B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6E9659C"/>
    <w:multiLevelType w:val="hybridMultilevel"/>
    <w:tmpl w:val="1F846BBC"/>
    <w:lvl w:ilvl="0" w:tplc="131C98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8C82857"/>
    <w:multiLevelType w:val="hybridMultilevel"/>
    <w:tmpl w:val="A08A4D62"/>
    <w:lvl w:ilvl="0" w:tplc="C032EEFA">
      <w:start w:val="1"/>
      <w:numFmt w:val="upperLetter"/>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nsid w:val="59887995"/>
    <w:multiLevelType w:val="hybridMultilevel"/>
    <w:tmpl w:val="3A264680"/>
    <w:lvl w:ilvl="0" w:tplc="C3E25F08">
      <w:start w:val="1"/>
      <w:numFmt w:val="decimal"/>
      <w:lvlText w:val="%1."/>
      <w:lvlJc w:val="left"/>
      <w:pPr>
        <w:ind w:left="2880" w:hanging="360"/>
      </w:pPr>
      <w:rPr>
        <w:rFonts w:hint="default"/>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2">
    <w:nsid w:val="66673775"/>
    <w:multiLevelType w:val="hybridMultilevel"/>
    <w:tmpl w:val="4C6EADF4"/>
    <w:lvl w:ilvl="0" w:tplc="7B32CFD2">
      <w:start w:val="1"/>
      <w:numFmt w:val="decimal"/>
      <w:lvlText w:val="%1."/>
      <w:lvlJc w:val="left"/>
      <w:pPr>
        <w:ind w:left="2880" w:hanging="360"/>
      </w:pPr>
      <w:rPr>
        <w:rFonts w:hint="default"/>
      </w:rPr>
    </w:lvl>
    <w:lvl w:ilvl="1" w:tplc="04090019">
      <w:start w:val="1"/>
      <w:numFmt w:val="lowerLetter"/>
      <w:lvlText w:val="%2."/>
      <w:lvlJc w:val="left"/>
      <w:pPr>
        <w:ind w:left="3600" w:hanging="360"/>
      </w:pPr>
    </w:lvl>
    <w:lvl w:ilvl="2" w:tplc="0409001B">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2E6873"/>
    <w:multiLevelType w:val="hybridMultilevel"/>
    <w:tmpl w:val="6D1660BE"/>
    <w:lvl w:ilvl="0" w:tplc="EE2480AA">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
    <w:nsid w:val="71D54C49"/>
    <w:multiLevelType w:val="hybridMultilevel"/>
    <w:tmpl w:val="BCB87DAC"/>
    <w:lvl w:ilvl="0" w:tplc="79809A74">
      <w:start w:val="1"/>
      <w:numFmt w:val="upperLetter"/>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nsid w:val="75324A67"/>
    <w:multiLevelType w:val="hybridMultilevel"/>
    <w:tmpl w:val="BFCC89D8"/>
    <w:lvl w:ilvl="0" w:tplc="E4646FF6">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
    <w:nsid w:val="7547727F"/>
    <w:multiLevelType w:val="hybridMultilevel"/>
    <w:tmpl w:val="5FFA73EA"/>
    <w:lvl w:ilvl="0" w:tplc="CB7E1EB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9DF414A"/>
    <w:multiLevelType w:val="hybridMultilevel"/>
    <w:tmpl w:val="E88E330A"/>
    <w:lvl w:ilvl="0" w:tplc="2490017A">
      <w:start w:val="1"/>
      <w:numFmt w:val="upperLetter"/>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3"/>
  </w:num>
  <w:num w:numId="2">
    <w:abstractNumId w:val="1"/>
  </w:num>
  <w:num w:numId="3">
    <w:abstractNumId w:val="17"/>
  </w:num>
  <w:num w:numId="4">
    <w:abstractNumId w:val="7"/>
  </w:num>
  <w:num w:numId="5">
    <w:abstractNumId w:val="6"/>
  </w:num>
  <w:num w:numId="6">
    <w:abstractNumId w:val="4"/>
  </w:num>
  <w:num w:numId="7">
    <w:abstractNumId w:val="9"/>
  </w:num>
  <w:num w:numId="8">
    <w:abstractNumId w:val="8"/>
  </w:num>
  <w:num w:numId="9">
    <w:abstractNumId w:val="5"/>
  </w:num>
  <w:num w:numId="10">
    <w:abstractNumId w:val="10"/>
  </w:num>
  <w:num w:numId="11">
    <w:abstractNumId w:val="12"/>
  </w:num>
  <w:num w:numId="12">
    <w:abstractNumId w:val="16"/>
  </w:num>
  <w:num w:numId="13">
    <w:abstractNumId w:val="15"/>
  </w:num>
  <w:num w:numId="14">
    <w:abstractNumId w:val="0"/>
  </w:num>
  <w:num w:numId="15">
    <w:abstractNumId w:val="14"/>
  </w:num>
  <w:num w:numId="16">
    <w:abstractNumId w:val="18"/>
  </w:num>
  <w:num w:numId="17">
    <w:abstractNumId w:val="3"/>
  </w:num>
  <w:num w:numId="18">
    <w:abstractNumId w:val="11"/>
  </w:num>
  <w:num w:numId="1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322B9"/>
    <w:rsid w:val="00032639"/>
    <w:rsid w:val="00060946"/>
    <w:rsid w:val="000933B7"/>
    <w:rsid w:val="000C4CE3"/>
    <w:rsid w:val="00100CA7"/>
    <w:rsid w:val="0010547E"/>
    <w:rsid w:val="00144D3B"/>
    <w:rsid w:val="0015215A"/>
    <w:rsid w:val="0016476D"/>
    <w:rsid w:val="001B4B47"/>
    <w:rsid w:val="001C360D"/>
    <w:rsid w:val="001C63B4"/>
    <w:rsid w:val="0020276A"/>
    <w:rsid w:val="0021316F"/>
    <w:rsid w:val="00264974"/>
    <w:rsid w:val="002A54A9"/>
    <w:rsid w:val="002E001A"/>
    <w:rsid w:val="003807E0"/>
    <w:rsid w:val="00421A36"/>
    <w:rsid w:val="00470E43"/>
    <w:rsid w:val="00474ABE"/>
    <w:rsid w:val="00484CDA"/>
    <w:rsid w:val="005F2C53"/>
    <w:rsid w:val="00602342"/>
    <w:rsid w:val="006067CB"/>
    <w:rsid w:val="00692188"/>
    <w:rsid w:val="006A18CC"/>
    <w:rsid w:val="006B0D64"/>
    <w:rsid w:val="00731294"/>
    <w:rsid w:val="00796A64"/>
    <w:rsid w:val="007B337C"/>
    <w:rsid w:val="00805EB9"/>
    <w:rsid w:val="008162E6"/>
    <w:rsid w:val="008875C0"/>
    <w:rsid w:val="008B718E"/>
    <w:rsid w:val="00922D78"/>
    <w:rsid w:val="009645CA"/>
    <w:rsid w:val="009A46A1"/>
    <w:rsid w:val="009F6A2F"/>
    <w:rsid w:val="00A20DAD"/>
    <w:rsid w:val="00A2469C"/>
    <w:rsid w:val="00A41926"/>
    <w:rsid w:val="00A56A0E"/>
    <w:rsid w:val="00A63F47"/>
    <w:rsid w:val="00AA40E8"/>
    <w:rsid w:val="00B33309"/>
    <w:rsid w:val="00B80826"/>
    <w:rsid w:val="00B965A3"/>
    <w:rsid w:val="00BD3281"/>
    <w:rsid w:val="00BE2C82"/>
    <w:rsid w:val="00C5621B"/>
    <w:rsid w:val="00CA53FB"/>
    <w:rsid w:val="00D735CE"/>
    <w:rsid w:val="00D86730"/>
    <w:rsid w:val="00DF0843"/>
    <w:rsid w:val="00DF0BBC"/>
    <w:rsid w:val="00E16E68"/>
    <w:rsid w:val="00E44DD5"/>
    <w:rsid w:val="00E66354"/>
    <w:rsid w:val="00E837DD"/>
    <w:rsid w:val="00E85CA4"/>
    <w:rsid w:val="00EA2BBD"/>
    <w:rsid w:val="00EF7570"/>
    <w:rsid w:val="00F954BD"/>
    <w:rsid w:val="00F95A0E"/>
    <w:rsid w:val="00FA447D"/>
    <w:rsid w:val="00FE70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paragraph" w:styleId="FootnoteText">
    <w:name w:val="footnote text"/>
    <w:basedOn w:val="Normal"/>
    <w:link w:val="FootnoteTextChar"/>
    <w:uiPriority w:val="99"/>
    <w:semiHidden/>
    <w:unhideWhenUsed/>
    <w:rsid w:val="0060234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02342"/>
    <w:rPr>
      <w:sz w:val="20"/>
      <w:szCs w:val="20"/>
    </w:rPr>
  </w:style>
  <w:style w:type="character" w:styleId="FootnoteReference">
    <w:name w:val="footnote reference"/>
    <w:basedOn w:val="DefaultParagraphFont"/>
    <w:uiPriority w:val="99"/>
    <w:semiHidden/>
    <w:unhideWhenUsed/>
    <w:rsid w:val="00602342"/>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514318-558E-4398-BCE2-A217C8797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8</Pages>
  <Words>2952</Words>
  <Characters>16833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8</cp:revision>
  <cp:lastPrinted>2018-12-31T21:01:00Z</cp:lastPrinted>
  <dcterms:created xsi:type="dcterms:W3CDTF">2018-12-31T02:31:00Z</dcterms:created>
  <dcterms:modified xsi:type="dcterms:W3CDTF">2018-12-31T21:01:00Z</dcterms:modified>
</cp:coreProperties>
</file>