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rsidP="00C87419">
      <w:pPr>
        <w:spacing w:after="0"/>
      </w:pPr>
    </w:p>
    <w:p w:rsidR="00E16E68" w:rsidRDefault="008E5B66" w:rsidP="00C87419">
      <w:pPr>
        <w:spacing w:after="0"/>
        <w:jc w:val="center"/>
        <w:rPr>
          <w:b/>
          <w:sz w:val="24"/>
          <w:szCs w:val="24"/>
        </w:rPr>
      </w:pPr>
      <w:r>
        <w:rPr>
          <w:b/>
          <w:sz w:val="24"/>
          <w:szCs w:val="24"/>
        </w:rPr>
        <w:t>US</w:t>
      </w:r>
      <w:r w:rsidR="0016476D">
        <w:rPr>
          <w:b/>
          <w:sz w:val="24"/>
          <w:szCs w:val="24"/>
        </w:rPr>
        <w:t xml:space="preserve"> </w:t>
      </w:r>
      <w:r w:rsidR="007D1AC2">
        <w:rPr>
          <w:b/>
          <w:sz w:val="24"/>
          <w:szCs w:val="24"/>
        </w:rPr>
        <w:t>Supreme</w:t>
      </w:r>
      <w:r w:rsidR="0016476D">
        <w:rPr>
          <w:b/>
          <w:sz w:val="24"/>
          <w:szCs w:val="24"/>
        </w:rPr>
        <w:t xml:space="preserve"> Court</w:t>
      </w:r>
    </w:p>
    <w:p w:rsidR="00C87419" w:rsidRDefault="00C87419" w:rsidP="00C87419">
      <w:pPr>
        <w:spacing w:after="0"/>
        <w:jc w:val="center"/>
        <w:rPr>
          <w:b/>
          <w:sz w:val="24"/>
          <w:szCs w:val="24"/>
        </w:rPr>
      </w:pPr>
    </w:p>
    <w:p w:rsidR="00757CDB" w:rsidRPr="00F16411" w:rsidRDefault="00E16E68" w:rsidP="00C87419">
      <w:pPr>
        <w:spacing w:after="0"/>
        <w:rPr>
          <w:sz w:val="24"/>
          <w:szCs w:val="24"/>
        </w:rPr>
      </w:pPr>
      <w:r>
        <w:rPr>
          <w:b/>
          <w:sz w:val="24"/>
          <w:szCs w:val="24"/>
        </w:rPr>
        <w:t>Case:</w:t>
      </w:r>
      <w:r w:rsidR="008E5B66">
        <w:rPr>
          <w:b/>
          <w:sz w:val="24"/>
          <w:szCs w:val="24"/>
        </w:rPr>
        <w:tab/>
      </w:r>
      <w:proofErr w:type="spellStart"/>
      <w:r w:rsidR="00F16411">
        <w:rPr>
          <w:i/>
          <w:sz w:val="24"/>
          <w:szCs w:val="24"/>
        </w:rPr>
        <w:t>Alyeska</w:t>
      </w:r>
      <w:proofErr w:type="spellEnd"/>
      <w:r w:rsidR="00F16411">
        <w:rPr>
          <w:i/>
          <w:sz w:val="24"/>
          <w:szCs w:val="24"/>
        </w:rPr>
        <w:t xml:space="preserve"> Pipeline Service Company v. The Wilderness Society et al.</w:t>
      </w:r>
      <w:r w:rsidR="00F16411">
        <w:rPr>
          <w:sz w:val="24"/>
          <w:szCs w:val="24"/>
        </w:rPr>
        <w:t>, 95 U.S. 1612 (1975)</w:t>
      </w:r>
    </w:p>
    <w:p w:rsidR="00E16E68" w:rsidRPr="00757CDB" w:rsidRDefault="008E5B66" w:rsidP="00C87419">
      <w:pPr>
        <w:spacing w:after="0"/>
        <w:rPr>
          <w:sz w:val="24"/>
          <w:szCs w:val="24"/>
        </w:rPr>
      </w:pPr>
      <w:r>
        <w:rPr>
          <w:b/>
          <w:sz w:val="24"/>
          <w:szCs w:val="24"/>
        </w:rPr>
        <w:t>Date:</w:t>
      </w:r>
      <w:r>
        <w:rPr>
          <w:b/>
          <w:sz w:val="24"/>
          <w:szCs w:val="24"/>
        </w:rPr>
        <w:tab/>
      </w:r>
      <w:r w:rsidR="00F16411">
        <w:rPr>
          <w:sz w:val="24"/>
          <w:szCs w:val="24"/>
        </w:rPr>
        <w:t>May 12, 1975</w:t>
      </w:r>
      <w:r>
        <w:rPr>
          <w:b/>
          <w:sz w:val="24"/>
          <w:szCs w:val="24"/>
        </w:rPr>
        <w:tab/>
      </w:r>
      <w:r w:rsidR="00A65C5C">
        <w:rPr>
          <w:b/>
          <w:sz w:val="24"/>
          <w:szCs w:val="24"/>
        </w:rPr>
        <w:tab/>
      </w:r>
      <w:r w:rsidR="00A65C5C">
        <w:rPr>
          <w:b/>
          <w:sz w:val="24"/>
          <w:szCs w:val="24"/>
        </w:rPr>
        <w:tab/>
      </w:r>
      <w:r w:rsidR="00A65C5C">
        <w:rPr>
          <w:b/>
          <w:sz w:val="24"/>
          <w:szCs w:val="24"/>
        </w:rPr>
        <w:tab/>
      </w:r>
      <w:r>
        <w:rPr>
          <w:b/>
          <w:sz w:val="24"/>
          <w:szCs w:val="24"/>
        </w:rPr>
        <w:t>Votes:</w:t>
      </w:r>
      <w:r w:rsidR="00757CDB">
        <w:rPr>
          <w:sz w:val="24"/>
          <w:szCs w:val="24"/>
        </w:rPr>
        <w:t xml:space="preserve"> </w:t>
      </w:r>
      <w:r w:rsidR="00F16411">
        <w:rPr>
          <w:sz w:val="24"/>
          <w:szCs w:val="24"/>
        </w:rPr>
        <w:t>5-2 (Burger Court</w:t>
      </w:r>
      <w:r w:rsidR="00676DBE">
        <w:rPr>
          <w:sz w:val="24"/>
          <w:szCs w:val="24"/>
        </w:rPr>
        <w:t xml:space="preserve">; Douglas &amp; Powell </w:t>
      </w:r>
      <w:proofErr w:type="spellStart"/>
      <w:r w:rsidR="00676DBE">
        <w:rPr>
          <w:sz w:val="24"/>
          <w:szCs w:val="24"/>
        </w:rPr>
        <w:t>recused</w:t>
      </w:r>
      <w:proofErr w:type="spellEnd"/>
      <w:r w:rsidR="00F16411">
        <w:rPr>
          <w:sz w:val="24"/>
          <w:szCs w:val="24"/>
        </w:rPr>
        <w:t>)</w:t>
      </w:r>
    </w:p>
    <w:p w:rsidR="00C87419" w:rsidRDefault="00C87419" w:rsidP="00C87419">
      <w:pPr>
        <w:spacing w:after="0"/>
        <w:rPr>
          <w:b/>
          <w:sz w:val="24"/>
          <w:szCs w:val="24"/>
        </w:rPr>
      </w:pPr>
    </w:p>
    <w:p w:rsidR="00E16E68" w:rsidRPr="0091571C" w:rsidRDefault="008E5B66" w:rsidP="00F16411">
      <w:pPr>
        <w:spacing w:after="0"/>
        <w:rPr>
          <w:sz w:val="24"/>
          <w:szCs w:val="24"/>
        </w:rPr>
      </w:pPr>
      <w:r>
        <w:rPr>
          <w:b/>
          <w:sz w:val="24"/>
          <w:szCs w:val="24"/>
        </w:rPr>
        <w:t>Opinion</w:t>
      </w:r>
      <w:r w:rsidR="00E16E68">
        <w:rPr>
          <w:b/>
          <w:sz w:val="24"/>
          <w:szCs w:val="24"/>
        </w:rPr>
        <w:t>:</w:t>
      </w:r>
      <w:r w:rsidR="00F16411">
        <w:rPr>
          <w:sz w:val="24"/>
          <w:szCs w:val="24"/>
        </w:rPr>
        <w:t xml:space="preserve"> Justice Byron White</w:t>
      </w:r>
      <w:r w:rsidR="007D3F07">
        <w:rPr>
          <w:b/>
          <w:sz w:val="24"/>
          <w:szCs w:val="24"/>
        </w:rPr>
        <w:tab/>
      </w:r>
      <w:r w:rsidR="00676DBE">
        <w:rPr>
          <w:b/>
          <w:sz w:val="24"/>
          <w:szCs w:val="24"/>
        </w:rPr>
        <w:tab/>
      </w:r>
      <w:r w:rsidR="00676DBE">
        <w:rPr>
          <w:b/>
          <w:sz w:val="24"/>
          <w:szCs w:val="24"/>
        </w:rPr>
        <w:tab/>
        <w:t>Dissents:</w:t>
      </w:r>
      <w:r w:rsidR="00676DBE">
        <w:rPr>
          <w:sz w:val="24"/>
          <w:szCs w:val="24"/>
        </w:rPr>
        <w:t xml:space="preserve"> Justice Brennan, Justice Marshall</w:t>
      </w:r>
      <w:r w:rsidR="00757CDB">
        <w:rPr>
          <w:b/>
          <w:sz w:val="24"/>
          <w:szCs w:val="24"/>
        </w:rPr>
        <w:tab/>
      </w:r>
      <w:r w:rsidR="00757CDB">
        <w:rPr>
          <w:b/>
          <w:sz w:val="24"/>
          <w:szCs w:val="24"/>
        </w:rPr>
        <w:tab/>
        <w:t xml:space="preserve"> </w:t>
      </w:r>
    </w:p>
    <w:p w:rsidR="00C87419" w:rsidRDefault="00C87419" w:rsidP="00C87419">
      <w:pPr>
        <w:spacing w:after="0"/>
        <w:rPr>
          <w:b/>
          <w:sz w:val="24"/>
          <w:szCs w:val="24"/>
        </w:rPr>
      </w:pPr>
    </w:p>
    <w:p w:rsidR="00E16E68" w:rsidRPr="00757CDB" w:rsidRDefault="00E16E68" w:rsidP="00C87419">
      <w:pPr>
        <w:spacing w:after="0"/>
        <w:rPr>
          <w:sz w:val="24"/>
          <w:szCs w:val="24"/>
        </w:rPr>
      </w:pPr>
      <w:r>
        <w:rPr>
          <w:b/>
          <w:sz w:val="24"/>
          <w:szCs w:val="24"/>
        </w:rPr>
        <w:t>Tags:</w:t>
      </w:r>
      <w:r w:rsidR="00757CDB">
        <w:rPr>
          <w:sz w:val="24"/>
          <w:szCs w:val="24"/>
        </w:rPr>
        <w:t xml:space="preserve"> </w:t>
      </w:r>
      <w:r w:rsidR="00F16411">
        <w:rPr>
          <w:sz w:val="24"/>
          <w:szCs w:val="24"/>
        </w:rPr>
        <w:t>Attorney fees, statutes, American rule</w:t>
      </w:r>
    </w:p>
    <w:p w:rsidR="00C87419" w:rsidRDefault="00C87419" w:rsidP="00C87419">
      <w:pPr>
        <w:spacing w:after="0"/>
        <w:rPr>
          <w:b/>
          <w:sz w:val="24"/>
          <w:szCs w:val="24"/>
        </w:rPr>
      </w:pPr>
    </w:p>
    <w:p w:rsidR="00E16E68" w:rsidRPr="00757CDB" w:rsidRDefault="008E5B66" w:rsidP="00C87419">
      <w:pPr>
        <w:spacing w:after="0"/>
        <w:rPr>
          <w:sz w:val="24"/>
          <w:szCs w:val="24"/>
        </w:rPr>
      </w:pPr>
      <w:r>
        <w:rPr>
          <w:b/>
          <w:sz w:val="24"/>
          <w:szCs w:val="24"/>
        </w:rPr>
        <w:t>Question(s) Presented</w:t>
      </w:r>
      <w:r w:rsidR="00E16E68">
        <w:rPr>
          <w:b/>
          <w:sz w:val="24"/>
          <w:szCs w:val="24"/>
        </w:rPr>
        <w:t>:</w:t>
      </w:r>
      <w:r w:rsidR="00757CDB">
        <w:rPr>
          <w:sz w:val="24"/>
          <w:szCs w:val="24"/>
        </w:rPr>
        <w:t xml:space="preserve"> </w:t>
      </w:r>
      <w:r w:rsidR="00F16411">
        <w:rPr>
          <w:sz w:val="24"/>
          <w:szCs w:val="24"/>
        </w:rPr>
        <w:t xml:space="preserve">Did the Court of Appeals properly award attorney fees </w:t>
      </w:r>
      <w:r w:rsidR="00157ACC">
        <w:rPr>
          <w:sz w:val="24"/>
          <w:szCs w:val="24"/>
        </w:rPr>
        <w:t>to prevailing litigants in environmental case?</w:t>
      </w:r>
    </w:p>
    <w:p w:rsidR="00C87419" w:rsidRDefault="00C87419" w:rsidP="00C87419">
      <w:pPr>
        <w:spacing w:after="0"/>
        <w:rPr>
          <w:b/>
          <w:sz w:val="24"/>
          <w:szCs w:val="24"/>
        </w:rPr>
      </w:pPr>
    </w:p>
    <w:p w:rsidR="00E16E68" w:rsidRPr="006309A8" w:rsidRDefault="00E16E68" w:rsidP="00C87419">
      <w:pPr>
        <w:spacing w:after="0"/>
        <w:rPr>
          <w:sz w:val="24"/>
          <w:szCs w:val="24"/>
        </w:rPr>
      </w:pPr>
      <w:r>
        <w:rPr>
          <w:b/>
          <w:sz w:val="24"/>
          <w:szCs w:val="24"/>
        </w:rPr>
        <w:t>Holdings:</w:t>
      </w:r>
      <w:r w:rsidR="00CC7EEE">
        <w:rPr>
          <w:sz w:val="24"/>
          <w:szCs w:val="24"/>
        </w:rPr>
        <w:t xml:space="preserve"> </w:t>
      </w:r>
      <w:r w:rsidR="00157ACC">
        <w:rPr>
          <w:sz w:val="24"/>
          <w:szCs w:val="24"/>
        </w:rPr>
        <w:t>No, awarding attorney fees was improperly done. Judgment of CA is reversed.</w:t>
      </w:r>
    </w:p>
    <w:p w:rsidR="00A65C5C" w:rsidRDefault="00A65C5C" w:rsidP="00C87419">
      <w:pPr>
        <w:spacing w:after="0"/>
        <w:rPr>
          <w:sz w:val="24"/>
          <w:szCs w:val="24"/>
        </w:rPr>
      </w:pPr>
    </w:p>
    <w:p w:rsidR="00A65C5C" w:rsidRPr="001A00BE" w:rsidRDefault="00A65C5C" w:rsidP="00C87419">
      <w:pPr>
        <w:spacing w:after="0"/>
        <w:rPr>
          <w:sz w:val="24"/>
          <w:szCs w:val="24"/>
        </w:rPr>
      </w:pPr>
      <w:r>
        <w:rPr>
          <w:b/>
          <w:sz w:val="24"/>
          <w:szCs w:val="24"/>
        </w:rPr>
        <w:t>Rationale:</w:t>
      </w:r>
      <w:r w:rsidR="001A00BE">
        <w:rPr>
          <w:sz w:val="24"/>
          <w:szCs w:val="24"/>
        </w:rPr>
        <w:t xml:space="preserve"> </w:t>
      </w:r>
      <w:r w:rsidR="00D53AD5">
        <w:rPr>
          <w:sz w:val="24"/>
          <w:szCs w:val="24"/>
        </w:rPr>
        <w:t>It’s inappropriate for courts to invent</w:t>
      </w:r>
      <w:r w:rsidR="00157ACC">
        <w:rPr>
          <w:sz w:val="24"/>
          <w:szCs w:val="24"/>
        </w:rPr>
        <w:t xml:space="preserve"> exceptions </w:t>
      </w:r>
      <w:r w:rsidR="00D53AD5">
        <w:rPr>
          <w:sz w:val="24"/>
          <w:szCs w:val="24"/>
        </w:rPr>
        <w:t>to</w:t>
      </w:r>
      <w:r w:rsidR="00157ACC">
        <w:rPr>
          <w:sz w:val="24"/>
          <w:szCs w:val="24"/>
        </w:rPr>
        <w:t xml:space="preserve"> the “American rule” unless Congress has specifically said </w:t>
      </w:r>
      <w:r w:rsidR="00D53AD5">
        <w:rPr>
          <w:sz w:val="24"/>
          <w:szCs w:val="24"/>
        </w:rPr>
        <w:t>they</w:t>
      </w:r>
      <w:r w:rsidR="00157ACC">
        <w:rPr>
          <w:sz w:val="24"/>
          <w:szCs w:val="24"/>
        </w:rPr>
        <w:t xml:space="preserve"> could in a statute, or it’s a bad-faith case or a common fund class action suit.</w:t>
      </w:r>
    </w:p>
    <w:p w:rsidR="00C87419" w:rsidRDefault="00C87419" w:rsidP="00C87419">
      <w:pPr>
        <w:spacing w:after="0"/>
        <w:rPr>
          <w:b/>
          <w:sz w:val="24"/>
          <w:szCs w:val="24"/>
        </w:rPr>
      </w:pPr>
    </w:p>
    <w:p w:rsidR="008E5B66" w:rsidRPr="00F862E4" w:rsidRDefault="008E5B66" w:rsidP="008E5B66">
      <w:pPr>
        <w:spacing w:after="0"/>
        <w:rPr>
          <w:sz w:val="24"/>
          <w:szCs w:val="24"/>
        </w:rPr>
      </w:pPr>
      <w:r>
        <w:rPr>
          <w:b/>
          <w:sz w:val="24"/>
          <w:szCs w:val="24"/>
        </w:rPr>
        <w:t>Facts:</w:t>
      </w:r>
      <w:r w:rsidR="00F862E4">
        <w:rPr>
          <w:sz w:val="24"/>
          <w:szCs w:val="24"/>
        </w:rPr>
        <w:t xml:space="preserve"> </w:t>
      </w:r>
      <w:r w:rsidR="00F16411">
        <w:rPr>
          <w:sz w:val="24"/>
          <w:szCs w:val="24"/>
        </w:rPr>
        <w:t>Environmental groups sued to prevent permits for the construction of trans-Alaska oil pipeline. Court of Appeals awarded attorney fees to plaintiffs because they were serving as private attorney general on behalf of others.</w:t>
      </w:r>
    </w:p>
    <w:p w:rsidR="008E5B66" w:rsidRDefault="008E5B66" w:rsidP="00C87419">
      <w:pPr>
        <w:spacing w:after="0"/>
        <w:rPr>
          <w:b/>
          <w:sz w:val="24"/>
          <w:szCs w:val="24"/>
        </w:rPr>
      </w:pPr>
    </w:p>
    <w:p w:rsidR="009917BC" w:rsidRDefault="00757CDB" w:rsidP="00C87419">
      <w:pPr>
        <w:spacing w:after="0"/>
        <w:rPr>
          <w:sz w:val="24"/>
          <w:szCs w:val="24"/>
        </w:rPr>
      </w:pPr>
      <w:r>
        <w:rPr>
          <w:b/>
          <w:sz w:val="24"/>
          <w:szCs w:val="24"/>
        </w:rPr>
        <w:t xml:space="preserve">Legal </w:t>
      </w:r>
      <w:r w:rsidR="009917BC">
        <w:rPr>
          <w:b/>
          <w:sz w:val="24"/>
          <w:szCs w:val="24"/>
        </w:rPr>
        <w:t>History, Prior Appeals &amp; Trial Court Input:</w:t>
      </w:r>
    </w:p>
    <w:p w:rsidR="001A00BE" w:rsidRPr="001A00BE" w:rsidRDefault="00157ACC" w:rsidP="001A00BE">
      <w:pPr>
        <w:pStyle w:val="ListParagraph"/>
        <w:numPr>
          <w:ilvl w:val="0"/>
          <w:numId w:val="7"/>
        </w:numPr>
        <w:spacing w:after="0"/>
        <w:rPr>
          <w:b/>
          <w:sz w:val="24"/>
          <w:szCs w:val="24"/>
        </w:rPr>
      </w:pPr>
      <w:r>
        <w:rPr>
          <w:b/>
          <w:sz w:val="24"/>
          <w:szCs w:val="24"/>
        </w:rPr>
        <w:t>Circuit Court:</w:t>
      </w:r>
      <w:r>
        <w:rPr>
          <w:sz w:val="24"/>
          <w:szCs w:val="24"/>
        </w:rPr>
        <w:t xml:space="preserve"> awarded attorney fees “based upon the court’s equitable powers and the theory that respondents were entitled to fees because they were performing the services of a ‘private attorney general.’” (1614)</w:t>
      </w:r>
    </w:p>
    <w:p w:rsidR="008E590A" w:rsidRDefault="008E590A" w:rsidP="008E5B66">
      <w:pPr>
        <w:spacing w:after="0"/>
        <w:rPr>
          <w:b/>
          <w:sz w:val="24"/>
          <w:szCs w:val="24"/>
        </w:rPr>
      </w:pPr>
    </w:p>
    <w:p w:rsidR="00552EC4" w:rsidRDefault="00552EC4" w:rsidP="00C87419">
      <w:pPr>
        <w:spacing w:after="0"/>
        <w:rPr>
          <w:b/>
          <w:sz w:val="24"/>
          <w:szCs w:val="24"/>
        </w:rPr>
      </w:pPr>
      <w:r>
        <w:rPr>
          <w:b/>
          <w:sz w:val="24"/>
          <w:szCs w:val="24"/>
        </w:rPr>
        <w:t>Appeals to Statute &amp; Precedent:</w:t>
      </w:r>
    </w:p>
    <w:p w:rsidR="00F14C85" w:rsidRPr="00F14C85" w:rsidRDefault="00F14C85" w:rsidP="00F14C85">
      <w:pPr>
        <w:pStyle w:val="ListParagraph"/>
        <w:numPr>
          <w:ilvl w:val="0"/>
          <w:numId w:val="7"/>
        </w:numPr>
        <w:spacing w:after="0"/>
        <w:rPr>
          <w:b/>
          <w:sz w:val="24"/>
          <w:szCs w:val="24"/>
        </w:rPr>
      </w:pPr>
      <w:r>
        <w:rPr>
          <w:b/>
          <w:sz w:val="24"/>
          <w:szCs w:val="24"/>
        </w:rPr>
        <w:t>Act of 1853:</w:t>
      </w:r>
      <w:r>
        <w:rPr>
          <w:sz w:val="24"/>
          <w:szCs w:val="24"/>
        </w:rPr>
        <w:t xml:space="preserve"> </w:t>
      </w:r>
      <w:r w:rsidR="00676DBE">
        <w:rPr>
          <w:sz w:val="24"/>
          <w:szCs w:val="24"/>
        </w:rPr>
        <w:t xml:space="preserve">(now </w:t>
      </w:r>
      <w:r w:rsidR="00676DBE">
        <w:rPr>
          <w:b/>
          <w:sz w:val="24"/>
          <w:szCs w:val="24"/>
        </w:rPr>
        <w:t xml:space="preserve">28 U.S.C. </w:t>
      </w:r>
      <w:r w:rsidR="00676DBE">
        <w:rPr>
          <w:rFonts w:cstheme="minorHAnsi"/>
          <w:b/>
          <w:sz w:val="24"/>
          <w:szCs w:val="24"/>
        </w:rPr>
        <w:t>§</w:t>
      </w:r>
      <w:r w:rsidR="00676DBE">
        <w:rPr>
          <w:b/>
          <w:sz w:val="24"/>
          <w:szCs w:val="24"/>
        </w:rPr>
        <w:t xml:space="preserve"> 1923</w:t>
      </w:r>
      <w:r w:rsidR="00676DBE">
        <w:rPr>
          <w:sz w:val="24"/>
          <w:szCs w:val="24"/>
        </w:rPr>
        <w:t xml:space="preserve">) </w:t>
      </w:r>
      <w:r>
        <w:rPr>
          <w:sz w:val="24"/>
          <w:szCs w:val="24"/>
        </w:rPr>
        <w:t>specifically limited recovery of attorneys’ fees</w:t>
      </w:r>
    </w:p>
    <w:p w:rsidR="00F14C85" w:rsidRPr="00F14C85" w:rsidRDefault="00F14C85" w:rsidP="00F14C85">
      <w:pPr>
        <w:pStyle w:val="ListParagraph"/>
        <w:numPr>
          <w:ilvl w:val="0"/>
          <w:numId w:val="7"/>
        </w:numPr>
        <w:spacing w:after="0"/>
        <w:rPr>
          <w:b/>
          <w:sz w:val="24"/>
          <w:szCs w:val="24"/>
        </w:rPr>
      </w:pPr>
      <w:r>
        <w:rPr>
          <w:b/>
          <w:i/>
          <w:sz w:val="24"/>
          <w:szCs w:val="24"/>
        </w:rPr>
        <w:t xml:space="preserve">Trustees v. </w:t>
      </w:r>
      <w:proofErr w:type="spellStart"/>
      <w:r>
        <w:rPr>
          <w:b/>
          <w:i/>
          <w:sz w:val="24"/>
          <w:szCs w:val="24"/>
        </w:rPr>
        <w:t>Greenough</w:t>
      </w:r>
      <w:proofErr w:type="spellEnd"/>
      <w:r>
        <w:rPr>
          <w:b/>
          <w:sz w:val="24"/>
          <w:szCs w:val="24"/>
        </w:rPr>
        <w:t>, 105 U.S. 527 (1882):</w:t>
      </w:r>
      <w:r>
        <w:rPr>
          <w:sz w:val="24"/>
          <w:szCs w:val="24"/>
        </w:rPr>
        <w:t xml:space="preserve"> equitable fund doctrine (cases from 1885-1974 listed as having followed this rule)</w:t>
      </w:r>
    </w:p>
    <w:p w:rsidR="00F14C85" w:rsidRPr="00F14C85" w:rsidRDefault="00F14C85" w:rsidP="00F14C85">
      <w:pPr>
        <w:pStyle w:val="ListParagraph"/>
        <w:numPr>
          <w:ilvl w:val="0"/>
          <w:numId w:val="7"/>
        </w:numPr>
        <w:spacing w:after="0"/>
        <w:rPr>
          <w:b/>
          <w:sz w:val="24"/>
          <w:szCs w:val="24"/>
        </w:rPr>
      </w:pPr>
      <w:r>
        <w:rPr>
          <w:b/>
          <w:i/>
          <w:sz w:val="24"/>
          <w:szCs w:val="24"/>
        </w:rPr>
        <w:t>Vaughan v. Atkinson</w:t>
      </w:r>
      <w:r>
        <w:rPr>
          <w:b/>
          <w:sz w:val="24"/>
          <w:szCs w:val="24"/>
        </w:rPr>
        <w:t xml:space="preserve">, 369 U.S. 527, 82 </w:t>
      </w:r>
      <w:proofErr w:type="spellStart"/>
      <w:r>
        <w:rPr>
          <w:b/>
          <w:sz w:val="24"/>
          <w:szCs w:val="24"/>
        </w:rPr>
        <w:t>S.Ct</w:t>
      </w:r>
      <w:proofErr w:type="spellEnd"/>
      <w:r>
        <w:rPr>
          <w:b/>
          <w:sz w:val="24"/>
          <w:szCs w:val="24"/>
        </w:rPr>
        <w:t xml:space="preserve">. 997, </w:t>
      </w:r>
      <w:proofErr w:type="gramStart"/>
      <w:r>
        <w:rPr>
          <w:b/>
          <w:sz w:val="24"/>
          <w:szCs w:val="24"/>
        </w:rPr>
        <w:t xml:space="preserve">8 </w:t>
      </w:r>
      <w:proofErr w:type="spellStart"/>
      <w:r>
        <w:rPr>
          <w:b/>
          <w:sz w:val="24"/>
          <w:szCs w:val="24"/>
        </w:rPr>
        <w:t>L.Ed</w:t>
      </w:r>
      <w:proofErr w:type="spellEnd"/>
      <w:proofErr w:type="gramEnd"/>
      <w:r>
        <w:rPr>
          <w:b/>
          <w:sz w:val="24"/>
          <w:szCs w:val="24"/>
        </w:rPr>
        <w:t>. 2d 88 (1962):</w:t>
      </w:r>
      <w:r>
        <w:rPr>
          <w:sz w:val="24"/>
          <w:szCs w:val="24"/>
        </w:rPr>
        <w:t xml:space="preserve"> recovery of attorney fees because of bad faith action.</w:t>
      </w:r>
    </w:p>
    <w:p w:rsidR="00C87419" w:rsidRDefault="00C87419" w:rsidP="00C87419">
      <w:pPr>
        <w:spacing w:after="0"/>
        <w:rPr>
          <w:b/>
          <w:sz w:val="24"/>
          <w:szCs w:val="24"/>
        </w:rPr>
      </w:pPr>
    </w:p>
    <w:p w:rsidR="00E16E68" w:rsidRDefault="00E16E68" w:rsidP="00C87419">
      <w:pPr>
        <w:spacing w:after="0"/>
        <w:rPr>
          <w:b/>
          <w:sz w:val="24"/>
          <w:szCs w:val="24"/>
        </w:rPr>
      </w:pPr>
      <w:r>
        <w:rPr>
          <w:b/>
          <w:sz w:val="24"/>
          <w:szCs w:val="24"/>
        </w:rPr>
        <w:t>Dicta</w:t>
      </w:r>
      <w:r w:rsidR="006309A8">
        <w:rPr>
          <w:b/>
          <w:sz w:val="24"/>
          <w:szCs w:val="24"/>
        </w:rPr>
        <w:t>/Discussion</w:t>
      </w:r>
      <w:r>
        <w:rPr>
          <w:b/>
          <w:sz w:val="24"/>
          <w:szCs w:val="24"/>
        </w:rPr>
        <w:t>:</w:t>
      </w:r>
    </w:p>
    <w:p w:rsidR="00157ACC" w:rsidRPr="00D53AD5" w:rsidRDefault="00157ACC" w:rsidP="00157ACC">
      <w:pPr>
        <w:pStyle w:val="ListParagraph"/>
        <w:numPr>
          <w:ilvl w:val="0"/>
          <w:numId w:val="7"/>
        </w:numPr>
        <w:spacing w:after="0"/>
        <w:rPr>
          <w:b/>
          <w:sz w:val="24"/>
          <w:szCs w:val="24"/>
        </w:rPr>
      </w:pPr>
      <w:r>
        <w:rPr>
          <w:sz w:val="24"/>
          <w:szCs w:val="24"/>
        </w:rPr>
        <w:t>“In the United States, the prevailing litigant is ordinarily not entitled to collect a reasonable attorney’s fee from the loser.” (1616)</w:t>
      </w:r>
    </w:p>
    <w:p w:rsidR="00D53AD5" w:rsidRPr="00D53AD5" w:rsidRDefault="00D53AD5" w:rsidP="00157ACC">
      <w:pPr>
        <w:pStyle w:val="ListParagraph"/>
        <w:numPr>
          <w:ilvl w:val="0"/>
          <w:numId w:val="7"/>
        </w:numPr>
        <w:spacing w:after="0"/>
        <w:rPr>
          <w:b/>
          <w:sz w:val="24"/>
          <w:szCs w:val="24"/>
        </w:rPr>
      </w:pPr>
      <w:r>
        <w:rPr>
          <w:sz w:val="24"/>
          <w:szCs w:val="24"/>
        </w:rPr>
        <w:t xml:space="preserve">A little history: in England, it’s authorized by law that the plaintiff can recover attorneys’ fees. U.S. had same till around 1800. Congressional Act in 1853 specified limit to recovery of fees in federal cases. </w:t>
      </w:r>
    </w:p>
    <w:p w:rsidR="00D53AD5" w:rsidRPr="00F14C85" w:rsidRDefault="00D53AD5" w:rsidP="00D53AD5">
      <w:pPr>
        <w:pStyle w:val="ListParagraph"/>
        <w:numPr>
          <w:ilvl w:val="1"/>
          <w:numId w:val="7"/>
        </w:numPr>
        <w:spacing w:after="0"/>
        <w:rPr>
          <w:b/>
          <w:sz w:val="24"/>
          <w:szCs w:val="24"/>
        </w:rPr>
      </w:pPr>
      <w:r>
        <w:rPr>
          <w:sz w:val="24"/>
          <w:szCs w:val="24"/>
        </w:rPr>
        <w:lastRenderedPageBreak/>
        <w:t>“Although, as will be seen, Congress has made specific provision for attorneys’ fees under certain federal statutes, it has not changed the general statutory rule that allowances for counsel fees are limited to the sums specified by the costs statute.” (1621)</w:t>
      </w:r>
    </w:p>
    <w:p w:rsidR="00F14C85" w:rsidRPr="00F14C85" w:rsidRDefault="00F14C85" w:rsidP="00D53AD5">
      <w:pPr>
        <w:pStyle w:val="ListParagraph"/>
        <w:numPr>
          <w:ilvl w:val="1"/>
          <w:numId w:val="7"/>
        </w:numPr>
        <w:spacing w:after="0"/>
        <w:rPr>
          <w:b/>
          <w:sz w:val="24"/>
          <w:szCs w:val="24"/>
        </w:rPr>
      </w:pPr>
      <w:r>
        <w:rPr>
          <w:sz w:val="24"/>
          <w:szCs w:val="24"/>
        </w:rPr>
        <w:t>“To be sure, the fee statutes have been construed to allow, in limited circumstances, a reasonable attorneys’ fee to the prevailing party in excess of the small sums permitted” by the earlier Act. (1621) (e.g., equity &amp; trust funds)</w:t>
      </w:r>
    </w:p>
    <w:p w:rsidR="00F14C85" w:rsidRPr="00F14C85" w:rsidRDefault="00F14C85" w:rsidP="00D53AD5">
      <w:pPr>
        <w:pStyle w:val="ListParagraph"/>
        <w:numPr>
          <w:ilvl w:val="1"/>
          <w:numId w:val="7"/>
        </w:numPr>
        <w:spacing w:after="0"/>
        <w:rPr>
          <w:b/>
          <w:sz w:val="24"/>
          <w:szCs w:val="24"/>
        </w:rPr>
      </w:pPr>
      <w:r>
        <w:rPr>
          <w:sz w:val="24"/>
          <w:szCs w:val="24"/>
        </w:rPr>
        <w:t>Other exceptions: willful disobedience of a court order; bad faith action</w:t>
      </w:r>
    </w:p>
    <w:p w:rsidR="00F14C85" w:rsidRPr="00F14C85" w:rsidRDefault="00F14C85" w:rsidP="00F14C85">
      <w:pPr>
        <w:pStyle w:val="ListParagraph"/>
        <w:numPr>
          <w:ilvl w:val="0"/>
          <w:numId w:val="7"/>
        </w:numPr>
        <w:spacing w:after="0"/>
        <w:rPr>
          <w:b/>
          <w:sz w:val="24"/>
          <w:szCs w:val="24"/>
        </w:rPr>
      </w:pPr>
      <w:r>
        <w:rPr>
          <w:sz w:val="24"/>
          <w:szCs w:val="24"/>
        </w:rPr>
        <w:t xml:space="preserve">“Congress has not repudiated the judicially fashioned exceptions to the general rule against allowing substantial attorneys’ fees; but neither has it retracted, repealed, or modified the limitations on taxable fees contained in the 1853 statute and its successors. </w:t>
      </w:r>
      <w:r w:rsidRPr="00F14C85">
        <w:rPr>
          <w:b/>
          <w:sz w:val="24"/>
          <w:szCs w:val="24"/>
        </w:rPr>
        <w:t>Nor has it extended any roving authority to the Judiciary to allow counsel fees as costs or otherwise whenever the courts might deem them warranted.</w:t>
      </w:r>
      <w:r>
        <w:rPr>
          <w:sz w:val="24"/>
          <w:szCs w:val="24"/>
        </w:rPr>
        <w:t>” (1623)</w:t>
      </w:r>
    </w:p>
    <w:p w:rsidR="00F14C85" w:rsidRPr="00F14C85" w:rsidRDefault="00F14C85" w:rsidP="00F14C85">
      <w:pPr>
        <w:pStyle w:val="ListParagraph"/>
        <w:numPr>
          <w:ilvl w:val="0"/>
          <w:numId w:val="7"/>
        </w:numPr>
        <w:spacing w:after="0"/>
        <w:rPr>
          <w:b/>
          <w:sz w:val="24"/>
          <w:szCs w:val="24"/>
        </w:rPr>
      </w:pPr>
      <w:r>
        <w:rPr>
          <w:sz w:val="24"/>
          <w:szCs w:val="24"/>
        </w:rPr>
        <w:t>BUT: there are specific statutes now that allow recovery of fees. It’s all up to Congress.</w:t>
      </w:r>
    </w:p>
    <w:p w:rsidR="00F14C85" w:rsidRDefault="00676DBE" w:rsidP="00676DBE">
      <w:pPr>
        <w:pStyle w:val="ListParagraph"/>
        <w:numPr>
          <w:ilvl w:val="0"/>
          <w:numId w:val="7"/>
        </w:numPr>
        <w:spacing w:after="0"/>
        <w:rPr>
          <w:b/>
          <w:sz w:val="24"/>
          <w:szCs w:val="24"/>
        </w:rPr>
      </w:pPr>
      <w:r>
        <w:rPr>
          <w:b/>
          <w:sz w:val="24"/>
          <w:szCs w:val="24"/>
        </w:rPr>
        <w:t xml:space="preserve">“But congressional utilization of the private-attorney-general concept [in civil rights cases] can in no sense be construed as a grant of authority to the Judiciary to jettison the traditional rule against </w:t>
      </w:r>
      <w:proofErr w:type="spellStart"/>
      <w:r>
        <w:rPr>
          <w:b/>
          <w:sz w:val="24"/>
          <w:szCs w:val="24"/>
        </w:rPr>
        <w:t>nonstatutory</w:t>
      </w:r>
      <w:proofErr w:type="spellEnd"/>
      <w:r>
        <w:rPr>
          <w:b/>
          <w:sz w:val="24"/>
          <w:szCs w:val="24"/>
        </w:rPr>
        <w:t xml:space="preserve"> allowances to the prevailing party and to award attorneys’ fees whenever the courts deem the public policy furthered by a particular statute important enough to warrant the award.” (1624-25)</w:t>
      </w:r>
    </w:p>
    <w:p w:rsidR="00676DBE" w:rsidRPr="00676DBE" w:rsidRDefault="00676DBE" w:rsidP="00676DBE">
      <w:pPr>
        <w:pStyle w:val="ListParagraph"/>
        <w:numPr>
          <w:ilvl w:val="0"/>
          <w:numId w:val="7"/>
        </w:numPr>
        <w:spacing w:after="0"/>
        <w:rPr>
          <w:b/>
          <w:sz w:val="24"/>
          <w:szCs w:val="24"/>
        </w:rPr>
      </w:pPr>
      <w:r>
        <w:rPr>
          <w:sz w:val="24"/>
          <w:szCs w:val="24"/>
        </w:rPr>
        <w:t>“We need labor the matter no further. It appears to us that the rule suggested here and adopted by the Court of Appeals would make major inroads on a policy matter that Congress has reserved for itself.” (1627)</w:t>
      </w:r>
    </w:p>
    <w:p w:rsidR="00676DBE" w:rsidRPr="00157ACC" w:rsidRDefault="00676DBE" w:rsidP="00676DBE">
      <w:pPr>
        <w:pStyle w:val="ListParagraph"/>
        <w:numPr>
          <w:ilvl w:val="0"/>
          <w:numId w:val="7"/>
        </w:numPr>
        <w:spacing w:after="0"/>
        <w:rPr>
          <w:b/>
          <w:sz w:val="24"/>
          <w:szCs w:val="24"/>
        </w:rPr>
      </w:pPr>
      <w:r>
        <w:rPr>
          <w:sz w:val="24"/>
          <w:szCs w:val="24"/>
        </w:rPr>
        <w:t>“</w:t>
      </w:r>
      <w:proofErr w:type="gramStart"/>
      <w:r>
        <w:rPr>
          <w:sz w:val="24"/>
          <w:szCs w:val="24"/>
        </w:rPr>
        <w:t>the</w:t>
      </w:r>
      <w:proofErr w:type="gramEnd"/>
      <w:r>
        <w:rPr>
          <w:sz w:val="24"/>
          <w:szCs w:val="24"/>
        </w:rPr>
        <w:t xml:space="preserve"> rule followed in our courts with respect to attorneys’ fees has survived. It is deeply rooted in our history and in congressional policy; and it is not for us to invade the legislature’s province by redistributing litigation costs in the manner suggested by respondents and followed by the Court of Appeals.” (1628)</w:t>
      </w:r>
    </w:p>
    <w:p w:rsidR="00552EC4" w:rsidRDefault="00552EC4" w:rsidP="00C87419">
      <w:pPr>
        <w:spacing w:after="0"/>
        <w:rPr>
          <w:b/>
          <w:sz w:val="24"/>
          <w:szCs w:val="24"/>
        </w:rPr>
      </w:pPr>
    </w:p>
    <w:p w:rsidR="007C6B00" w:rsidRDefault="007C6B00" w:rsidP="007C6B00">
      <w:pPr>
        <w:spacing w:after="0"/>
        <w:rPr>
          <w:b/>
          <w:sz w:val="24"/>
          <w:szCs w:val="24"/>
        </w:rPr>
      </w:pPr>
      <w:r>
        <w:rPr>
          <w:b/>
          <w:sz w:val="24"/>
          <w:szCs w:val="24"/>
        </w:rPr>
        <w:t>Commentary:</w:t>
      </w:r>
    </w:p>
    <w:p w:rsidR="007C6B00" w:rsidRPr="00157ACC" w:rsidRDefault="007C6B00" w:rsidP="007C6B00">
      <w:pPr>
        <w:pStyle w:val="ListParagraph"/>
        <w:numPr>
          <w:ilvl w:val="0"/>
          <w:numId w:val="7"/>
        </w:numPr>
        <w:spacing w:after="0"/>
        <w:rPr>
          <w:b/>
          <w:sz w:val="24"/>
          <w:szCs w:val="24"/>
        </w:rPr>
      </w:pPr>
      <w:r>
        <w:rPr>
          <w:b/>
          <w:sz w:val="24"/>
          <w:szCs w:val="24"/>
        </w:rPr>
        <w:t xml:space="preserve">“American Rule” </w:t>
      </w:r>
      <w:proofErr w:type="gramStart"/>
      <w:r>
        <w:rPr>
          <w:b/>
          <w:sz w:val="24"/>
          <w:szCs w:val="24"/>
        </w:rPr>
        <w:t xml:space="preserve">= </w:t>
      </w:r>
      <w:r>
        <w:rPr>
          <w:sz w:val="24"/>
          <w:szCs w:val="24"/>
        </w:rPr>
        <w:t xml:space="preserve"> each</w:t>
      </w:r>
      <w:proofErr w:type="gramEnd"/>
      <w:r>
        <w:rPr>
          <w:sz w:val="24"/>
          <w:szCs w:val="24"/>
        </w:rPr>
        <w:t xml:space="preserve"> party bears the cost of its own representation.</w:t>
      </w:r>
    </w:p>
    <w:p w:rsidR="007C6B00" w:rsidRDefault="007C6B00" w:rsidP="008558E2">
      <w:pPr>
        <w:spacing w:after="0"/>
        <w:rPr>
          <w:b/>
          <w:sz w:val="24"/>
          <w:szCs w:val="24"/>
        </w:rPr>
      </w:pPr>
    </w:p>
    <w:p w:rsidR="0091571C" w:rsidRDefault="00E16E68" w:rsidP="008558E2">
      <w:pPr>
        <w:spacing w:after="0"/>
        <w:rPr>
          <w:b/>
          <w:sz w:val="24"/>
          <w:szCs w:val="24"/>
        </w:rPr>
      </w:pPr>
      <w:r>
        <w:rPr>
          <w:b/>
          <w:sz w:val="24"/>
          <w:szCs w:val="24"/>
        </w:rPr>
        <w:t>Dissent</w:t>
      </w:r>
      <w:r w:rsidR="00676DBE">
        <w:rPr>
          <w:b/>
          <w:sz w:val="24"/>
          <w:szCs w:val="24"/>
        </w:rPr>
        <w:t xml:space="preserve"> #1: Justice Brennan</w:t>
      </w:r>
    </w:p>
    <w:p w:rsidR="00676DBE" w:rsidRDefault="00676DBE" w:rsidP="00676DBE">
      <w:pPr>
        <w:pStyle w:val="ListParagraph"/>
        <w:numPr>
          <w:ilvl w:val="0"/>
          <w:numId w:val="7"/>
        </w:numPr>
        <w:spacing w:after="0"/>
        <w:rPr>
          <w:sz w:val="24"/>
          <w:szCs w:val="24"/>
        </w:rPr>
      </w:pPr>
      <w:r>
        <w:rPr>
          <w:sz w:val="24"/>
          <w:szCs w:val="24"/>
        </w:rPr>
        <w:t>I thought the private-attorney-general explanation was legit.</w:t>
      </w:r>
      <w:r w:rsidR="007C6B00">
        <w:rPr>
          <w:sz w:val="24"/>
          <w:szCs w:val="24"/>
        </w:rPr>
        <w:t xml:space="preserve"> Also, awarding attorneys’ fees in a case like this would encourage David-and-Goliath litigation.</w:t>
      </w:r>
    </w:p>
    <w:p w:rsidR="007C6B00" w:rsidRDefault="007C6B00" w:rsidP="007C6B00">
      <w:pPr>
        <w:spacing w:after="0"/>
        <w:rPr>
          <w:sz w:val="24"/>
          <w:szCs w:val="24"/>
        </w:rPr>
      </w:pPr>
    </w:p>
    <w:p w:rsidR="007C6B00" w:rsidRDefault="007C6B00" w:rsidP="007C6B00">
      <w:pPr>
        <w:spacing w:after="0"/>
        <w:rPr>
          <w:sz w:val="24"/>
          <w:szCs w:val="24"/>
        </w:rPr>
      </w:pPr>
      <w:r>
        <w:rPr>
          <w:b/>
          <w:sz w:val="24"/>
          <w:szCs w:val="24"/>
        </w:rPr>
        <w:t>Dissent #2: Justice Marshall</w:t>
      </w:r>
    </w:p>
    <w:p w:rsidR="007C6B00" w:rsidRDefault="007C6B00" w:rsidP="007C6B00">
      <w:pPr>
        <w:pStyle w:val="ListParagraph"/>
        <w:numPr>
          <w:ilvl w:val="0"/>
          <w:numId w:val="7"/>
        </w:numPr>
        <w:spacing w:after="0"/>
        <w:rPr>
          <w:sz w:val="24"/>
          <w:szCs w:val="24"/>
        </w:rPr>
      </w:pPr>
      <w:r>
        <w:rPr>
          <w:sz w:val="24"/>
          <w:szCs w:val="24"/>
        </w:rPr>
        <w:t xml:space="preserve">Equity power of the court has sometimes resulted in fee shifting, and Judiciary has more liberty than the Majority acknowledges </w:t>
      </w:r>
      <w:proofErr w:type="gramStart"/>
      <w:r>
        <w:rPr>
          <w:sz w:val="24"/>
          <w:szCs w:val="24"/>
        </w:rPr>
        <w:t>to make</w:t>
      </w:r>
      <w:proofErr w:type="gramEnd"/>
      <w:r>
        <w:rPr>
          <w:sz w:val="24"/>
          <w:szCs w:val="24"/>
        </w:rPr>
        <w:t xml:space="preserve"> exceptions. </w:t>
      </w:r>
    </w:p>
    <w:p w:rsidR="007C6B00" w:rsidRDefault="007C6B00" w:rsidP="007C6B00">
      <w:pPr>
        <w:pStyle w:val="ListParagraph"/>
        <w:numPr>
          <w:ilvl w:val="0"/>
          <w:numId w:val="7"/>
        </w:numPr>
        <w:spacing w:after="0"/>
        <w:rPr>
          <w:sz w:val="24"/>
          <w:szCs w:val="24"/>
        </w:rPr>
      </w:pPr>
      <w:r>
        <w:rPr>
          <w:sz w:val="24"/>
          <w:szCs w:val="24"/>
        </w:rPr>
        <w:t>Majority has read the case law selectively and over-read “the docketing-fees statute as a general bar to judicial fee shifting” (1630).</w:t>
      </w:r>
    </w:p>
    <w:p w:rsidR="00A67B23" w:rsidRDefault="007C6B00" w:rsidP="007C6B00">
      <w:pPr>
        <w:pStyle w:val="ListParagraph"/>
        <w:numPr>
          <w:ilvl w:val="0"/>
          <w:numId w:val="7"/>
        </w:numPr>
        <w:spacing w:after="0"/>
        <w:rPr>
          <w:sz w:val="24"/>
          <w:szCs w:val="24"/>
        </w:rPr>
      </w:pPr>
      <w:r>
        <w:rPr>
          <w:sz w:val="24"/>
          <w:szCs w:val="24"/>
        </w:rPr>
        <w:t>I think we could make a case for the private-attorney-general model under the historic equity jurisdiction of the courts</w:t>
      </w:r>
    </w:p>
    <w:p w:rsidR="007C6B00" w:rsidRDefault="00A67B23" w:rsidP="007C6B00">
      <w:pPr>
        <w:pStyle w:val="ListParagraph"/>
        <w:numPr>
          <w:ilvl w:val="0"/>
          <w:numId w:val="7"/>
        </w:numPr>
        <w:spacing w:after="0"/>
        <w:rPr>
          <w:sz w:val="24"/>
          <w:szCs w:val="24"/>
        </w:rPr>
      </w:pPr>
      <w:r>
        <w:rPr>
          <w:sz w:val="24"/>
          <w:szCs w:val="24"/>
        </w:rPr>
        <w:lastRenderedPageBreak/>
        <w:t>Historically: “As long as the court has jurisdiction over an entity through which the contribution can be effected, it is the fairer course to relieve the plaintiff of exclusive responsibility for the burden.” (1631)</w:t>
      </w:r>
    </w:p>
    <w:p w:rsidR="00A67B23" w:rsidRDefault="00A67B23" w:rsidP="007C6B00">
      <w:pPr>
        <w:pStyle w:val="ListParagraph"/>
        <w:numPr>
          <w:ilvl w:val="0"/>
          <w:numId w:val="7"/>
        </w:numPr>
        <w:spacing w:after="0"/>
        <w:rPr>
          <w:sz w:val="24"/>
          <w:szCs w:val="24"/>
        </w:rPr>
      </w:pPr>
      <w:r>
        <w:rPr>
          <w:sz w:val="24"/>
          <w:szCs w:val="24"/>
        </w:rPr>
        <w:t>Lots of sample cases: “The cases plainly establish an independent basis for equity courts to grant attorneys’ fees under several rather generous rubrics.” (1631)</w:t>
      </w:r>
    </w:p>
    <w:p w:rsidR="00A67B23" w:rsidRDefault="00A67B23" w:rsidP="007C6B00">
      <w:pPr>
        <w:pStyle w:val="ListParagraph"/>
        <w:numPr>
          <w:ilvl w:val="0"/>
          <w:numId w:val="7"/>
        </w:numPr>
        <w:spacing w:after="0"/>
        <w:rPr>
          <w:sz w:val="24"/>
          <w:szCs w:val="24"/>
        </w:rPr>
      </w:pPr>
      <w:r>
        <w:rPr>
          <w:sz w:val="24"/>
          <w:szCs w:val="24"/>
        </w:rPr>
        <w:t>“I am at a loss to understand how [the Court] can . . . say that this independent judicial power succumbs to Procrustean statutory restrictions—indeed, to statutory silence—as soon as the far from bright line between common benefit and public benefit is crossed.” (1631)</w:t>
      </w:r>
    </w:p>
    <w:p w:rsidR="00A67B23" w:rsidRDefault="00A67B23" w:rsidP="007C6B00">
      <w:pPr>
        <w:pStyle w:val="ListParagraph"/>
        <w:numPr>
          <w:ilvl w:val="0"/>
          <w:numId w:val="7"/>
        </w:numPr>
        <w:spacing w:after="0"/>
        <w:rPr>
          <w:sz w:val="24"/>
          <w:szCs w:val="24"/>
        </w:rPr>
      </w:pPr>
      <w:r>
        <w:rPr>
          <w:sz w:val="24"/>
          <w:szCs w:val="24"/>
        </w:rPr>
        <w:t>Thinks Majority has read into the docketing-fees statute a “general statutory embodiment of the American Rule” (1632).</w:t>
      </w:r>
    </w:p>
    <w:p w:rsidR="007D3895" w:rsidRPr="007C6B00" w:rsidRDefault="007D3895" w:rsidP="007C6B00">
      <w:pPr>
        <w:pStyle w:val="ListParagraph"/>
        <w:numPr>
          <w:ilvl w:val="0"/>
          <w:numId w:val="7"/>
        </w:numPr>
        <w:spacing w:after="0"/>
        <w:rPr>
          <w:sz w:val="24"/>
          <w:szCs w:val="24"/>
        </w:rPr>
      </w:pPr>
      <w:r>
        <w:rPr>
          <w:sz w:val="24"/>
          <w:szCs w:val="24"/>
        </w:rPr>
        <w:t>“The reasonable cost of the plaintiff’s representation should be placed upon the defendant if (1) the important right being protected is one actually or necessarily shared by the general public or some class thereof; (2) the plaintiff’s pecuniary interest in the outcome, if any, would not normally justify incurring the cost of counsel; and (3) shifting that cost to the defendant would effectively place it on a class that benefits from the litigation.” (1635)</w:t>
      </w:r>
    </w:p>
    <w:p w:rsidR="008558E2" w:rsidRDefault="008558E2" w:rsidP="008558E2">
      <w:pPr>
        <w:spacing w:after="0"/>
        <w:rPr>
          <w:b/>
          <w:sz w:val="24"/>
          <w:szCs w:val="24"/>
        </w:rPr>
      </w:pPr>
    </w:p>
    <w:p w:rsidR="008558E2" w:rsidRDefault="008558E2" w:rsidP="008558E2">
      <w:pPr>
        <w:spacing w:after="0"/>
        <w:rPr>
          <w:b/>
          <w:sz w:val="24"/>
          <w:szCs w:val="24"/>
        </w:rPr>
      </w:pPr>
    </w:p>
    <w:p w:rsidR="00C87419" w:rsidRDefault="00C87419" w:rsidP="00C87419">
      <w:pPr>
        <w:spacing w:after="0"/>
        <w:rPr>
          <w:b/>
          <w:sz w:val="24"/>
          <w:szCs w:val="24"/>
        </w:rPr>
      </w:pPr>
    </w:p>
    <w:sectPr w:rsidR="00C87419"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14AE" w:rsidRDefault="00B214AE" w:rsidP="00E16E68">
      <w:pPr>
        <w:spacing w:after="0" w:line="240" w:lineRule="auto"/>
      </w:pPr>
      <w:r>
        <w:separator/>
      </w:r>
    </w:p>
  </w:endnote>
  <w:endnote w:type="continuationSeparator" w:id="0">
    <w:p w:rsidR="00B214AE" w:rsidRDefault="00B214AE"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14AE" w:rsidRDefault="00B214AE" w:rsidP="00E16E68">
      <w:pPr>
        <w:spacing w:after="0" w:line="240" w:lineRule="auto"/>
      </w:pPr>
      <w:r>
        <w:separator/>
      </w:r>
    </w:p>
  </w:footnote>
  <w:footnote w:type="continuationSeparator" w:id="0">
    <w:p w:rsidR="00B214AE" w:rsidRDefault="00B214AE"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8E5B66" w:rsidP="00757CDB">
    <w:pPr>
      <w:pStyle w:val="Header"/>
      <w:jc w:val="right"/>
    </w:pPr>
    <w:r>
      <w:t>US</w:t>
    </w:r>
    <w:r w:rsidR="0016476D">
      <w:t xml:space="preserve"> </w:t>
    </w:r>
    <w:r w:rsidR="007D1AC2">
      <w:t>Supreme</w:t>
    </w:r>
    <w:r w:rsidR="0016476D">
      <w:t xml:space="preserve"> Court</w:t>
    </w:r>
    <w:r w:rsidR="00E16E68">
      <w:tab/>
    </w:r>
    <w:r w:rsidR="00F16411">
      <w:t>1975</w:t>
    </w:r>
    <w:r w:rsidR="00E16E68">
      <w:tab/>
    </w:r>
    <w:proofErr w:type="spellStart"/>
    <w:r w:rsidR="00F16411">
      <w:t>Alyeska</w:t>
    </w:r>
    <w:proofErr w:type="spellEnd"/>
    <w:r w:rsidR="00F16411">
      <w:t xml:space="preserve"> Pipeline v. Wilderness Society</w:t>
    </w:r>
  </w:p>
  <w:p w:rsidR="00552EC4" w:rsidRDefault="00552EC4" w:rsidP="00552EC4">
    <w:pPr>
      <w:pStyle w:val="Header"/>
      <w:jc w:val="right"/>
    </w:pPr>
    <w:r>
      <w:tab/>
    </w:r>
    <w:r>
      <w:tab/>
    </w:r>
    <w:r w:rsidR="00F16411">
      <w:t>ATTORNEY FEES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9867F5"/>
    <w:multiLevelType w:val="hybridMultilevel"/>
    <w:tmpl w:val="112E7904"/>
    <w:lvl w:ilvl="0" w:tplc="B3160AC8">
      <w:start w:val="2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B52235B"/>
    <w:multiLevelType w:val="hybridMultilevel"/>
    <w:tmpl w:val="CF769AB8"/>
    <w:lvl w:ilvl="0" w:tplc="67165164">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1D20DB7"/>
    <w:multiLevelType w:val="hybridMultilevel"/>
    <w:tmpl w:val="6188385A"/>
    <w:lvl w:ilvl="0" w:tplc="CA888038">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CC43981"/>
    <w:multiLevelType w:val="hybridMultilevel"/>
    <w:tmpl w:val="C0BC94D6"/>
    <w:lvl w:ilvl="0" w:tplc="A1D273BE">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B98048A"/>
    <w:multiLevelType w:val="hybridMultilevel"/>
    <w:tmpl w:val="45A67034"/>
    <w:lvl w:ilvl="0" w:tplc="83640348">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45418D3"/>
    <w:multiLevelType w:val="hybridMultilevel"/>
    <w:tmpl w:val="0A8CEAF0"/>
    <w:lvl w:ilvl="0" w:tplc="1BC46ED2">
      <w:numFmt w:val="bullet"/>
      <w:lvlText w:val=""/>
      <w:lvlJc w:val="left"/>
      <w:pPr>
        <w:ind w:left="720" w:hanging="360"/>
      </w:pPr>
      <w:rPr>
        <w:rFonts w:ascii="Symbol" w:eastAsiaTheme="minorHAnsi" w:hAnsi="Symbol" w:cstheme="minorBidi"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5"/>
  </w:num>
  <w:num w:numId="4">
    <w:abstractNumId w:val="2"/>
  </w:num>
  <w:num w:numId="5">
    <w:abstractNumId w:val="0"/>
  </w:num>
  <w:num w:numId="6">
    <w:abstractNumId w:val="1"/>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54BBC"/>
    <w:rsid w:val="00107F97"/>
    <w:rsid w:val="00144D3B"/>
    <w:rsid w:val="00157ACC"/>
    <w:rsid w:val="0016476D"/>
    <w:rsid w:val="001A00BE"/>
    <w:rsid w:val="001B0867"/>
    <w:rsid w:val="001D065C"/>
    <w:rsid w:val="001D38B2"/>
    <w:rsid w:val="003072AC"/>
    <w:rsid w:val="00330BB8"/>
    <w:rsid w:val="00457D27"/>
    <w:rsid w:val="0047660B"/>
    <w:rsid w:val="00552EC4"/>
    <w:rsid w:val="005878D6"/>
    <w:rsid w:val="00617BC1"/>
    <w:rsid w:val="006309A8"/>
    <w:rsid w:val="00676DBE"/>
    <w:rsid w:val="006C7E74"/>
    <w:rsid w:val="00757CDB"/>
    <w:rsid w:val="00765A9A"/>
    <w:rsid w:val="007A2FA8"/>
    <w:rsid w:val="007A3638"/>
    <w:rsid w:val="007C6B00"/>
    <w:rsid w:val="007D1AC2"/>
    <w:rsid w:val="007D2BFF"/>
    <w:rsid w:val="007D3895"/>
    <w:rsid w:val="007D3F07"/>
    <w:rsid w:val="008359AB"/>
    <w:rsid w:val="008558E2"/>
    <w:rsid w:val="008A41F9"/>
    <w:rsid w:val="008E590A"/>
    <w:rsid w:val="008E5B66"/>
    <w:rsid w:val="008F58FB"/>
    <w:rsid w:val="0091571C"/>
    <w:rsid w:val="009917BC"/>
    <w:rsid w:val="00A13E0B"/>
    <w:rsid w:val="00A35FD3"/>
    <w:rsid w:val="00A36433"/>
    <w:rsid w:val="00A41AD0"/>
    <w:rsid w:val="00A65C5C"/>
    <w:rsid w:val="00A67B23"/>
    <w:rsid w:val="00A71E2C"/>
    <w:rsid w:val="00AD15A3"/>
    <w:rsid w:val="00B214AE"/>
    <w:rsid w:val="00B330E3"/>
    <w:rsid w:val="00B54810"/>
    <w:rsid w:val="00B564E2"/>
    <w:rsid w:val="00B605C1"/>
    <w:rsid w:val="00B667F9"/>
    <w:rsid w:val="00B778D1"/>
    <w:rsid w:val="00B8320A"/>
    <w:rsid w:val="00BA7681"/>
    <w:rsid w:val="00BD414C"/>
    <w:rsid w:val="00C04809"/>
    <w:rsid w:val="00C05F23"/>
    <w:rsid w:val="00C87419"/>
    <w:rsid w:val="00CB1792"/>
    <w:rsid w:val="00CC3AFE"/>
    <w:rsid w:val="00CC7EEE"/>
    <w:rsid w:val="00CD6DF7"/>
    <w:rsid w:val="00D53AD5"/>
    <w:rsid w:val="00D66735"/>
    <w:rsid w:val="00DC6562"/>
    <w:rsid w:val="00DE5C98"/>
    <w:rsid w:val="00E16E68"/>
    <w:rsid w:val="00E2134E"/>
    <w:rsid w:val="00EA12E3"/>
    <w:rsid w:val="00F14C85"/>
    <w:rsid w:val="00F14E4A"/>
    <w:rsid w:val="00F16411"/>
    <w:rsid w:val="00F862E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151</TotalTime>
  <Pages>3</Pages>
  <Words>886</Words>
  <Characters>5052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3</cp:revision>
  <dcterms:created xsi:type="dcterms:W3CDTF">2019-05-31T21:12:00Z</dcterms:created>
  <dcterms:modified xsi:type="dcterms:W3CDTF">2019-05-31T23:40:00Z</dcterms:modified>
</cp:coreProperties>
</file>