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667C9D" w:rsidRDefault="00E16E68" w:rsidP="00C87419">
      <w:pPr>
        <w:spacing w:after="0"/>
        <w:rPr>
          <w:sz w:val="24"/>
          <w:szCs w:val="24"/>
        </w:rPr>
      </w:pPr>
      <w:r>
        <w:rPr>
          <w:b/>
          <w:sz w:val="24"/>
          <w:szCs w:val="24"/>
        </w:rPr>
        <w:t>Case:</w:t>
      </w:r>
      <w:r w:rsidR="008E5B66">
        <w:rPr>
          <w:b/>
          <w:sz w:val="24"/>
          <w:szCs w:val="24"/>
        </w:rPr>
        <w:tab/>
      </w:r>
      <w:r w:rsidR="00667C9D">
        <w:rPr>
          <w:i/>
          <w:sz w:val="24"/>
          <w:szCs w:val="24"/>
        </w:rPr>
        <w:t>Virginia v. Black</w:t>
      </w:r>
      <w:r w:rsidR="00667C9D">
        <w:rPr>
          <w:sz w:val="24"/>
          <w:szCs w:val="24"/>
        </w:rPr>
        <w:t>, 538 U.S. 343 (2003)</w:t>
      </w:r>
    </w:p>
    <w:p w:rsidR="00E16E68" w:rsidRPr="00757CDB" w:rsidRDefault="008E5B66" w:rsidP="00C87419">
      <w:pPr>
        <w:spacing w:after="0"/>
        <w:rPr>
          <w:sz w:val="24"/>
          <w:szCs w:val="24"/>
        </w:rPr>
      </w:pPr>
      <w:r>
        <w:rPr>
          <w:b/>
          <w:sz w:val="24"/>
          <w:szCs w:val="24"/>
        </w:rPr>
        <w:t>Date:</w:t>
      </w:r>
      <w:r>
        <w:rPr>
          <w:b/>
          <w:sz w:val="24"/>
          <w:szCs w:val="24"/>
        </w:rPr>
        <w:tab/>
      </w:r>
      <w:r w:rsidR="00667C9D">
        <w:rPr>
          <w:sz w:val="24"/>
          <w:szCs w:val="24"/>
        </w:rPr>
        <w:t>April 7, 2003</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667C9D">
        <w:rPr>
          <w:sz w:val="24"/>
          <w:szCs w:val="24"/>
        </w:rPr>
        <w:t xml:space="preserve">7-2 </w:t>
      </w:r>
    </w:p>
    <w:p w:rsidR="00C87419" w:rsidRDefault="00C87419" w:rsidP="00C87419">
      <w:pPr>
        <w:spacing w:after="0"/>
        <w:rPr>
          <w:b/>
          <w:sz w:val="24"/>
          <w:szCs w:val="24"/>
        </w:rPr>
      </w:pPr>
    </w:p>
    <w:p w:rsidR="00F11CF9" w:rsidRDefault="008E5B66" w:rsidP="00C87419">
      <w:pPr>
        <w:spacing w:after="0"/>
        <w:rPr>
          <w:b/>
          <w:sz w:val="24"/>
          <w:szCs w:val="24"/>
        </w:rPr>
      </w:pPr>
      <w:r>
        <w:rPr>
          <w:b/>
          <w:sz w:val="24"/>
          <w:szCs w:val="24"/>
        </w:rPr>
        <w:t>Opinion</w:t>
      </w:r>
      <w:r w:rsidR="00E16E68">
        <w:rPr>
          <w:b/>
          <w:sz w:val="24"/>
          <w:szCs w:val="24"/>
        </w:rPr>
        <w:t>:</w:t>
      </w:r>
      <w:r w:rsidR="00667C9D">
        <w:rPr>
          <w:sz w:val="24"/>
          <w:szCs w:val="24"/>
        </w:rPr>
        <w:t xml:space="preserve"> O’Connor</w:t>
      </w:r>
      <w:r w:rsidR="00F11CF9">
        <w:rPr>
          <w:sz w:val="24"/>
          <w:szCs w:val="24"/>
        </w:rPr>
        <w:t xml:space="preserve"> (Rehnquist, Stevens, Scalia, </w:t>
      </w:r>
      <w:proofErr w:type="spellStart"/>
      <w:r w:rsidR="00F11CF9">
        <w:rPr>
          <w:sz w:val="24"/>
          <w:szCs w:val="24"/>
        </w:rPr>
        <w:t>Breyer</w:t>
      </w:r>
      <w:proofErr w:type="spellEnd"/>
      <w:r w:rsidR="00F11CF9">
        <w:rPr>
          <w:sz w:val="24"/>
          <w:szCs w:val="24"/>
        </w:rPr>
        <w:t xml:space="preserve"> joined </w:t>
      </w:r>
      <w:proofErr w:type="spellStart"/>
      <w:r w:rsidR="00F11CF9">
        <w:rPr>
          <w:sz w:val="24"/>
          <w:szCs w:val="24"/>
        </w:rPr>
        <w:t>wrt</w:t>
      </w:r>
      <w:proofErr w:type="spellEnd"/>
      <w:r w:rsidR="00F11CF9">
        <w:rPr>
          <w:sz w:val="24"/>
          <w:szCs w:val="24"/>
        </w:rPr>
        <w:t xml:space="preserve"> Parts I-III; Scalia didn’t join Parts IV &amp; V.)</w:t>
      </w:r>
    </w:p>
    <w:p w:rsidR="00F653C0" w:rsidRDefault="00F653C0" w:rsidP="00C87419">
      <w:pPr>
        <w:spacing w:after="0"/>
        <w:rPr>
          <w:b/>
          <w:sz w:val="24"/>
          <w:szCs w:val="24"/>
        </w:rPr>
      </w:pPr>
    </w:p>
    <w:p w:rsidR="00F11CF9" w:rsidRDefault="00F11CF9" w:rsidP="00C87419">
      <w:pPr>
        <w:spacing w:after="0"/>
        <w:rPr>
          <w:sz w:val="24"/>
          <w:szCs w:val="24"/>
        </w:rPr>
      </w:pPr>
      <w:r>
        <w:rPr>
          <w:b/>
          <w:sz w:val="24"/>
          <w:szCs w:val="24"/>
        </w:rPr>
        <w:t>Concurrence</w:t>
      </w:r>
      <w:r w:rsidR="00CB1792">
        <w:rPr>
          <w:b/>
          <w:sz w:val="24"/>
          <w:szCs w:val="24"/>
        </w:rPr>
        <w:t>:</w:t>
      </w:r>
      <w:r w:rsidR="00CB1792">
        <w:rPr>
          <w:sz w:val="24"/>
          <w:szCs w:val="24"/>
        </w:rPr>
        <w:t xml:space="preserve"> </w:t>
      </w:r>
      <w:r>
        <w:rPr>
          <w:sz w:val="24"/>
          <w:szCs w:val="24"/>
        </w:rPr>
        <w:t>Stevens</w:t>
      </w:r>
      <w:r>
        <w:rPr>
          <w:sz w:val="24"/>
          <w:szCs w:val="24"/>
        </w:rPr>
        <w:tab/>
      </w:r>
      <w:r>
        <w:rPr>
          <w:sz w:val="24"/>
          <w:szCs w:val="24"/>
        </w:rPr>
        <w:tab/>
      </w:r>
      <w:r>
        <w:rPr>
          <w:sz w:val="24"/>
          <w:szCs w:val="24"/>
        </w:rPr>
        <w:tab/>
      </w:r>
    </w:p>
    <w:p w:rsidR="00F653C0" w:rsidRDefault="00F653C0" w:rsidP="00C87419">
      <w:pPr>
        <w:spacing w:after="0"/>
        <w:rPr>
          <w:b/>
          <w:sz w:val="24"/>
          <w:szCs w:val="24"/>
        </w:rPr>
      </w:pPr>
    </w:p>
    <w:p w:rsidR="00CB1792" w:rsidRPr="00F11CF9" w:rsidRDefault="00F11CF9" w:rsidP="00C87419">
      <w:pPr>
        <w:spacing w:after="0"/>
        <w:rPr>
          <w:sz w:val="24"/>
          <w:szCs w:val="24"/>
        </w:rPr>
      </w:pPr>
      <w:r>
        <w:rPr>
          <w:b/>
          <w:sz w:val="24"/>
          <w:szCs w:val="24"/>
        </w:rPr>
        <w:t>Concurrence/Dissents:</w:t>
      </w:r>
      <w:r>
        <w:rPr>
          <w:sz w:val="24"/>
          <w:szCs w:val="24"/>
        </w:rPr>
        <w:t xml:space="preserve"> Scalia (with Thomas, in part); Souter (with Kennedy and Ginsburg)</w:t>
      </w:r>
    </w:p>
    <w:p w:rsidR="00F653C0" w:rsidRDefault="00F653C0" w:rsidP="00C87419">
      <w:pPr>
        <w:spacing w:after="0"/>
        <w:rPr>
          <w:b/>
          <w:sz w:val="24"/>
          <w:szCs w:val="24"/>
        </w:rPr>
      </w:pPr>
    </w:p>
    <w:p w:rsidR="00E16E68" w:rsidRPr="00F11CF9" w:rsidRDefault="008E5B66" w:rsidP="00C87419">
      <w:pPr>
        <w:spacing w:after="0"/>
        <w:rPr>
          <w:sz w:val="24"/>
          <w:szCs w:val="24"/>
        </w:rPr>
      </w:pPr>
      <w:r>
        <w:rPr>
          <w:b/>
          <w:sz w:val="24"/>
          <w:szCs w:val="24"/>
        </w:rPr>
        <w:t>Dissen</w:t>
      </w:r>
      <w:r w:rsidR="00757CDB">
        <w:rPr>
          <w:b/>
          <w:sz w:val="24"/>
          <w:szCs w:val="24"/>
        </w:rPr>
        <w:t>t</w:t>
      </w:r>
      <w:r w:rsidR="00F11CF9">
        <w:rPr>
          <w:b/>
          <w:sz w:val="24"/>
          <w:szCs w:val="24"/>
        </w:rPr>
        <w:t xml:space="preserve">: </w:t>
      </w:r>
      <w:r w:rsidR="00F11CF9">
        <w:rPr>
          <w:sz w:val="24"/>
          <w:szCs w:val="24"/>
        </w:rPr>
        <w:t>Thomas</w:t>
      </w:r>
    </w:p>
    <w:p w:rsidR="00C87419" w:rsidRDefault="00C87419" w:rsidP="00C87419">
      <w:pPr>
        <w:spacing w:after="0"/>
        <w:rPr>
          <w:b/>
          <w:sz w:val="24"/>
          <w:szCs w:val="24"/>
        </w:rPr>
      </w:pPr>
    </w:p>
    <w:p w:rsidR="00E16E68" w:rsidRPr="00757CDB" w:rsidRDefault="00E16E68" w:rsidP="00C87419">
      <w:pPr>
        <w:spacing w:after="0"/>
        <w:rPr>
          <w:sz w:val="24"/>
          <w:szCs w:val="24"/>
        </w:rPr>
      </w:pPr>
      <w:r>
        <w:rPr>
          <w:b/>
          <w:sz w:val="24"/>
          <w:szCs w:val="24"/>
        </w:rPr>
        <w:t>Tags:</w:t>
      </w:r>
      <w:r w:rsidR="00757CDB">
        <w:rPr>
          <w:sz w:val="24"/>
          <w:szCs w:val="24"/>
        </w:rPr>
        <w:t xml:space="preserve"> </w:t>
      </w:r>
      <w:r w:rsidR="00D5315D">
        <w:rPr>
          <w:sz w:val="24"/>
          <w:szCs w:val="24"/>
        </w:rPr>
        <w:t>Virginia, cross burning, true threat, First Amendment, intent to intimidate, protected speech</w:t>
      </w:r>
    </w:p>
    <w:p w:rsidR="00C87419" w:rsidRDefault="00C87419" w:rsidP="00C87419">
      <w:pPr>
        <w:spacing w:after="0"/>
        <w:rPr>
          <w:b/>
          <w:sz w:val="24"/>
          <w:szCs w:val="24"/>
        </w:rPr>
      </w:pPr>
    </w:p>
    <w:p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667C9D">
        <w:rPr>
          <w:sz w:val="24"/>
          <w:szCs w:val="24"/>
        </w:rPr>
        <w:t>Was Virginia’s statute against cross-burning constitutional, or did it chill free speech and violate the First Amendment?</w:t>
      </w:r>
    </w:p>
    <w:p w:rsidR="00C87419" w:rsidRDefault="00C87419" w:rsidP="00C87419">
      <w:pPr>
        <w:spacing w:after="0"/>
        <w:rPr>
          <w:b/>
          <w:sz w:val="24"/>
          <w:szCs w:val="24"/>
        </w:rPr>
      </w:pPr>
    </w:p>
    <w:p w:rsidR="00E16E68" w:rsidRPr="00667C9D" w:rsidRDefault="00E16E68" w:rsidP="00C87419">
      <w:pPr>
        <w:spacing w:after="0"/>
        <w:rPr>
          <w:sz w:val="24"/>
          <w:szCs w:val="24"/>
        </w:rPr>
      </w:pPr>
      <w:r>
        <w:rPr>
          <w:b/>
          <w:sz w:val="24"/>
          <w:szCs w:val="24"/>
        </w:rPr>
        <w:t>Holdings:</w:t>
      </w:r>
      <w:r w:rsidR="00CC7EEE">
        <w:rPr>
          <w:sz w:val="24"/>
          <w:szCs w:val="24"/>
        </w:rPr>
        <w:t xml:space="preserve"> </w:t>
      </w:r>
      <w:r w:rsidR="00667C9D">
        <w:rPr>
          <w:sz w:val="24"/>
          <w:szCs w:val="24"/>
        </w:rPr>
        <w:t xml:space="preserve">VA’s statute does violate the First Amendment because it is too broad. </w:t>
      </w:r>
      <w:r w:rsidR="00F11CF9">
        <w:rPr>
          <w:sz w:val="24"/>
          <w:szCs w:val="24"/>
        </w:rPr>
        <w:t xml:space="preserve">Cross burners’ convictions are vacated. </w:t>
      </w:r>
      <w:r w:rsidR="00667C9D">
        <w:rPr>
          <w:sz w:val="24"/>
          <w:szCs w:val="24"/>
        </w:rPr>
        <w:t>[Actually it’s hard to figure out what the holdings were, exactly, because different groups of Justices agreed with different things.]</w:t>
      </w:r>
    </w:p>
    <w:p w:rsidR="00A65C5C" w:rsidRDefault="00A65C5C" w:rsidP="00C87419">
      <w:pPr>
        <w:spacing w:after="0"/>
        <w:rPr>
          <w:sz w:val="24"/>
          <w:szCs w:val="24"/>
        </w:rPr>
      </w:pPr>
    </w:p>
    <w:p w:rsidR="00A65C5C" w:rsidRPr="001A00BE" w:rsidRDefault="00A65C5C" w:rsidP="00C87419">
      <w:pPr>
        <w:spacing w:after="0"/>
        <w:rPr>
          <w:sz w:val="24"/>
          <w:szCs w:val="24"/>
        </w:rPr>
      </w:pPr>
      <w:r>
        <w:rPr>
          <w:b/>
          <w:sz w:val="24"/>
          <w:szCs w:val="24"/>
        </w:rPr>
        <w:t>Rationale:</w:t>
      </w:r>
      <w:r w:rsidR="001A00BE">
        <w:rPr>
          <w:sz w:val="24"/>
          <w:szCs w:val="24"/>
        </w:rPr>
        <w:t xml:space="preserve"> </w:t>
      </w:r>
      <w:r w:rsidR="00667C9D">
        <w:rPr>
          <w:sz w:val="24"/>
          <w:szCs w:val="24"/>
        </w:rPr>
        <w:t xml:space="preserve">A state may prohibit cross burning </w:t>
      </w:r>
      <w:r w:rsidR="00667C9D">
        <w:rPr>
          <w:i/>
          <w:sz w:val="24"/>
          <w:szCs w:val="24"/>
        </w:rPr>
        <w:t>with intent to intimidate</w:t>
      </w:r>
      <w:r w:rsidR="00667C9D">
        <w:rPr>
          <w:sz w:val="24"/>
          <w:szCs w:val="24"/>
        </w:rPr>
        <w:t>, but the statute should not declare all cross burnings prima facie evidence of intent to intimidate.</w:t>
      </w:r>
    </w:p>
    <w:p w:rsidR="00C87419" w:rsidRDefault="00C87419" w:rsidP="00C87419">
      <w:pPr>
        <w:spacing w:after="0"/>
        <w:rPr>
          <w:b/>
          <w:sz w:val="24"/>
          <w:szCs w:val="24"/>
        </w:rPr>
      </w:pPr>
    </w:p>
    <w:p w:rsidR="008E5B66" w:rsidRPr="00F862E4" w:rsidRDefault="008E5B66" w:rsidP="008E5B66">
      <w:pPr>
        <w:spacing w:after="0"/>
        <w:rPr>
          <w:sz w:val="24"/>
          <w:szCs w:val="24"/>
        </w:rPr>
      </w:pPr>
      <w:r>
        <w:rPr>
          <w:b/>
          <w:sz w:val="24"/>
          <w:szCs w:val="24"/>
        </w:rPr>
        <w:t>Facts:</w:t>
      </w:r>
      <w:r w:rsidR="00F862E4">
        <w:rPr>
          <w:sz w:val="24"/>
          <w:szCs w:val="24"/>
        </w:rPr>
        <w:t xml:space="preserve"> </w:t>
      </w:r>
      <w:r w:rsidR="00412085">
        <w:rPr>
          <w:sz w:val="24"/>
          <w:szCs w:val="24"/>
        </w:rPr>
        <w:t>Respondent Black convicted of cross burning in VA in 1998 at a KKK rally. Jury was instructed that the burning of the cross was sufficient evidence to infer intent. Two others burned cross in A.A. neighbor’s yard.</w:t>
      </w:r>
    </w:p>
    <w:p w:rsidR="008E5B66" w:rsidRDefault="008E5B66" w:rsidP="00C87419">
      <w:pPr>
        <w:spacing w:after="0"/>
        <w:rPr>
          <w:b/>
          <w:sz w:val="24"/>
          <w:szCs w:val="24"/>
        </w:rPr>
      </w:pPr>
    </w:p>
    <w:p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rsidR="001A00BE" w:rsidRPr="001B5DD6" w:rsidRDefault="001B5DD6" w:rsidP="001A00BE">
      <w:pPr>
        <w:pStyle w:val="ListParagraph"/>
        <w:numPr>
          <w:ilvl w:val="0"/>
          <w:numId w:val="7"/>
        </w:numPr>
        <w:spacing w:after="0"/>
        <w:rPr>
          <w:b/>
          <w:sz w:val="24"/>
          <w:szCs w:val="24"/>
        </w:rPr>
      </w:pPr>
      <w:r>
        <w:rPr>
          <w:b/>
          <w:sz w:val="24"/>
          <w:szCs w:val="24"/>
        </w:rPr>
        <w:t>Black’s case:</w:t>
      </w:r>
      <w:r>
        <w:rPr>
          <w:sz w:val="24"/>
          <w:szCs w:val="24"/>
        </w:rPr>
        <w:t xml:space="preserve"> trial court jury was instructed as to presumption of intent to intimidate (from VA statute); convicted.</w:t>
      </w:r>
    </w:p>
    <w:p w:rsidR="001B5DD6" w:rsidRPr="001B5DD6" w:rsidRDefault="001B5DD6" w:rsidP="001A00BE">
      <w:pPr>
        <w:pStyle w:val="ListParagraph"/>
        <w:numPr>
          <w:ilvl w:val="0"/>
          <w:numId w:val="7"/>
        </w:numPr>
        <w:spacing w:after="0"/>
        <w:rPr>
          <w:b/>
          <w:sz w:val="24"/>
          <w:szCs w:val="24"/>
        </w:rPr>
      </w:pPr>
      <w:r>
        <w:rPr>
          <w:b/>
          <w:sz w:val="24"/>
          <w:szCs w:val="24"/>
        </w:rPr>
        <w:t>Other cases:</w:t>
      </w:r>
      <w:r>
        <w:rPr>
          <w:sz w:val="24"/>
          <w:szCs w:val="24"/>
        </w:rPr>
        <w:t xml:space="preserve"> trial court jury was not instructed re. VA statute’s presumption of intent; convicted.</w:t>
      </w:r>
    </w:p>
    <w:p w:rsidR="001B5DD6" w:rsidRPr="001B5DD6" w:rsidRDefault="001B5DD6" w:rsidP="001A00BE">
      <w:pPr>
        <w:pStyle w:val="ListParagraph"/>
        <w:numPr>
          <w:ilvl w:val="0"/>
          <w:numId w:val="7"/>
        </w:numPr>
        <w:spacing w:after="0"/>
        <w:rPr>
          <w:b/>
          <w:sz w:val="24"/>
          <w:szCs w:val="24"/>
        </w:rPr>
      </w:pPr>
      <w:r>
        <w:rPr>
          <w:b/>
          <w:sz w:val="24"/>
          <w:szCs w:val="24"/>
        </w:rPr>
        <w:t>Court of Appeals of VA (2000):</w:t>
      </w:r>
      <w:r>
        <w:rPr>
          <w:sz w:val="24"/>
          <w:szCs w:val="24"/>
        </w:rPr>
        <w:t xml:space="preserve"> affirmed convictions.</w:t>
      </w:r>
    </w:p>
    <w:p w:rsidR="001B5DD6" w:rsidRPr="001A00BE" w:rsidRDefault="001B5DD6" w:rsidP="001A00BE">
      <w:pPr>
        <w:pStyle w:val="ListParagraph"/>
        <w:numPr>
          <w:ilvl w:val="0"/>
          <w:numId w:val="7"/>
        </w:numPr>
        <w:spacing w:after="0"/>
        <w:rPr>
          <w:b/>
          <w:sz w:val="24"/>
          <w:szCs w:val="24"/>
        </w:rPr>
      </w:pPr>
      <w:r>
        <w:rPr>
          <w:b/>
          <w:sz w:val="24"/>
          <w:szCs w:val="24"/>
        </w:rPr>
        <w:t>VA Supreme Court (2001):</w:t>
      </w:r>
      <w:r>
        <w:rPr>
          <w:sz w:val="24"/>
          <w:szCs w:val="24"/>
        </w:rPr>
        <w:t xml:space="preserve"> cases consolidated and court determined that statute was facially unconstitutional, per </w:t>
      </w:r>
      <w:r>
        <w:rPr>
          <w:i/>
          <w:sz w:val="24"/>
          <w:szCs w:val="24"/>
        </w:rPr>
        <w:t>R. A. V.</w:t>
      </w:r>
      <w:r>
        <w:rPr>
          <w:sz w:val="24"/>
          <w:szCs w:val="24"/>
        </w:rPr>
        <w:t xml:space="preserve"> – discriminates on the basis of content, is overbroad because presumptive of intent; may chill free expression.</w:t>
      </w:r>
    </w:p>
    <w:p w:rsidR="008E590A" w:rsidRDefault="008E590A" w:rsidP="008E5B66">
      <w:pPr>
        <w:spacing w:after="0"/>
        <w:rPr>
          <w:b/>
          <w:sz w:val="24"/>
          <w:szCs w:val="24"/>
        </w:rPr>
      </w:pPr>
    </w:p>
    <w:p w:rsidR="00F653C0" w:rsidRDefault="00F653C0" w:rsidP="008E5B66">
      <w:pPr>
        <w:spacing w:after="0"/>
        <w:rPr>
          <w:b/>
          <w:sz w:val="24"/>
          <w:szCs w:val="24"/>
        </w:rPr>
      </w:pPr>
    </w:p>
    <w:p w:rsidR="00F653C0" w:rsidRDefault="00F653C0" w:rsidP="008E5B66">
      <w:pPr>
        <w:spacing w:after="0"/>
        <w:rPr>
          <w:b/>
          <w:sz w:val="24"/>
          <w:szCs w:val="24"/>
        </w:rPr>
      </w:pPr>
    </w:p>
    <w:p w:rsidR="00F653C0" w:rsidRDefault="00F653C0" w:rsidP="008E5B66">
      <w:pPr>
        <w:spacing w:after="0"/>
        <w:rPr>
          <w:b/>
          <w:sz w:val="24"/>
          <w:szCs w:val="24"/>
        </w:rPr>
      </w:pPr>
    </w:p>
    <w:p w:rsidR="001B5DD6" w:rsidRDefault="00621DCB" w:rsidP="008E5B66">
      <w:pPr>
        <w:spacing w:after="0"/>
        <w:rPr>
          <w:sz w:val="24"/>
          <w:szCs w:val="24"/>
        </w:rPr>
      </w:pPr>
      <w:r>
        <w:rPr>
          <w:b/>
          <w:sz w:val="24"/>
          <w:szCs w:val="24"/>
        </w:rPr>
        <w:lastRenderedPageBreak/>
        <w:t xml:space="preserve">Relevant </w:t>
      </w:r>
      <w:r w:rsidR="001B5DD6">
        <w:rPr>
          <w:b/>
          <w:sz w:val="24"/>
          <w:szCs w:val="24"/>
        </w:rPr>
        <w:t>American History:</w:t>
      </w:r>
    </w:p>
    <w:p w:rsidR="001B5DD6" w:rsidRDefault="00621DCB" w:rsidP="001B5DD6">
      <w:pPr>
        <w:pStyle w:val="ListParagraph"/>
        <w:numPr>
          <w:ilvl w:val="0"/>
          <w:numId w:val="7"/>
        </w:numPr>
        <w:spacing w:after="0"/>
        <w:rPr>
          <w:sz w:val="24"/>
          <w:szCs w:val="24"/>
        </w:rPr>
      </w:pPr>
      <w:r w:rsidRPr="00621DCB">
        <w:rPr>
          <w:b/>
          <w:sz w:val="24"/>
          <w:szCs w:val="24"/>
        </w:rPr>
        <w:t>1866:</w:t>
      </w:r>
      <w:r>
        <w:rPr>
          <w:sz w:val="24"/>
          <w:szCs w:val="24"/>
        </w:rPr>
        <w:t xml:space="preserve"> </w:t>
      </w:r>
      <w:r w:rsidR="001B5DD6">
        <w:rPr>
          <w:sz w:val="24"/>
          <w:szCs w:val="24"/>
        </w:rPr>
        <w:t xml:space="preserve">KKK began in Pulaski, TN </w:t>
      </w:r>
    </w:p>
    <w:p w:rsidR="001B5DD6" w:rsidRDefault="001B5DD6" w:rsidP="001B5DD6">
      <w:pPr>
        <w:pStyle w:val="ListParagraph"/>
        <w:numPr>
          <w:ilvl w:val="0"/>
          <w:numId w:val="7"/>
        </w:numPr>
        <w:spacing w:after="0"/>
        <w:rPr>
          <w:sz w:val="24"/>
          <w:szCs w:val="24"/>
        </w:rPr>
      </w:pPr>
      <w:r w:rsidRPr="00621DCB">
        <w:rPr>
          <w:b/>
          <w:sz w:val="24"/>
          <w:szCs w:val="24"/>
        </w:rPr>
        <w:t>KKK Act 1871:</w:t>
      </w:r>
      <w:r>
        <w:rPr>
          <w:sz w:val="24"/>
          <w:szCs w:val="24"/>
        </w:rPr>
        <w:t xml:space="preserve"> President Grant used this to curtail KKK in South Carolina.</w:t>
      </w:r>
    </w:p>
    <w:p w:rsidR="001B5DD6" w:rsidRDefault="001B5DD6" w:rsidP="001B5DD6">
      <w:pPr>
        <w:pStyle w:val="ListParagraph"/>
        <w:numPr>
          <w:ilvl w:val="0"/>
          <w:numId w:val="7"/>
        </w:numPr>
        <w:spacing w:after="0"/>
        <w:rPr>
          <w:sz w:val="24"/>
          <w:szCs w:val="24"/>
        </w:rPr>
      </w:pPr>
      <w:r w:rsidRPr="00621DCB">
        <w:rPr>
          <w:b/>
          <w:sz w:val="24"/>
          <w:szCs w:val="24"/>
        </w:rPr>
        <w:t>1905</w:t>
      </w:r>
      <w:r>
        <w:rPr>
          <w:sz w:val="24"/>
          <w:szCs w:val="24"/>
        </w:rPr>
        <w:t xml:space="preserve"> publication of Thomas Dixon’s The Clansmen: An Historical Romance of the Ku Klux Klan.</w:t>
      </w:r>
      <w:r w:rsidR="00CF251D">
        <w:rPr>
          <w:sz w:val="24"/>
          <w:szCs w:val="24"/>
        </w:rPr>
        <w:t xml:space="preserve"> Depicted </w:t>
      </w:r>
      <w:proofErr w:type="spellStart"/>
      <w:r w:rsidR="00CF251D">
        <w:rPr>
          <w:sz w:val="24"/>
          <w:szCs w:val="24"/>
        </w:rPr>
        <w:t>ahistorical</w:t>
      </w:r>
      <w:proofErr w:type="spellEnd"/>
      <w:r w:rsidR="00CF251D">
        <w:rPr>
          <w:sz w:val="24"/>
          <w:szCs w:val="24"/>
        </w:rPr>
        <w:t xml:space="preserve"> cross burnings.</w:t>
      </w:r>
    </w:p>
    <w:p w:rsidR="00CF251D" w:rsidRDefault="00CF251D" w:rsidP="001B5DD6">
      <w:pPr>
        <w:pStyle w:val="ListParagraph"/>
        <w:numPr>
          <w:ilvl w:val="0"/>
          <w:numId w:val="7"/>
        </w:numPr>
        <w:spacing w:after="0"/>
        <w:rPr>
          <w:sz w:val="24"/>
          <w:szCs w:val="24"/>
        </w:rPr>
      </w:pPr>
      <w:r w:rsidRPr="00621DCB">
        <w:rPr>
          <w:b/>
          <w:sz w:val="24"/>
          <w:szCs w:val="24"/>
        </w:rPr>
        <w:t>1915:</w:t>
      </w:r>
      <w:r>
        <w:rPr>
          <w:sz w:val="24"/>
          <w:szCs w:val="24"/>
        </w:rPr>
        <w:t xml:space="preserve"> book became movie, Birth of a Nation—cross burning became tied with KKK in American imagination. In Nov. of this year second KKK began.</w:t>
      </w:r>
    </w:p>
    <w:p w:rsidR="00CF251D" w:rsidRDefault="00CF251D" w:rsidP="001B5DD6">
      <w:pPr>
        <w:pStyle w:val="ListParagraph"/>
        <w:numPr>
          <w:ilvl w:val="0"/>
          <w:numId w:val="7"/>
        </w:numPr>
        <w:spacing w:after="0"/>
        <w:rPr>
          <w:sz w:val="24"/>
          <w:szCs w:val="24"/>
        </w:rPr>
      </w:pPr>
      <w:r>
        <w:rPr>
          <w:sz w:val="24"/>
          <w:szCs w:val="24"/>
        </w:rPr>
        <w:t>“From the inception of the second Klan, cross burnings have been used to communicate both threats of violence and messages of shared ideology.” (354)</w:t>
      </w:r>
    </w:p>
    <w:p w:rsidR="00CF251D" w:rsidRDefault="00CF251D" w:rsidP="001B5DD6">
      <w:pPr>
        <w:pStyle w:val="ListParagraph"/>
        <w:numPr>
          <w:ilvl w:val="0"/>
          <w:numId w:val="7"/>
        </w:numPr>
        <w:spacing w:after="0"/>
        <w:rPr>
          <w:sz w:val="24"/>
          <w:szCs w:val="24"/>
        </w:rPr>
      </w:pPr>
      <w:r w:rsidRPr="00621DCB">
        <w:rPr>
          <w:b/>
          <w:sz w:val="24"/>
          <w:szCs w:val="24"/>
        </w:rPr>
        <w:t>1950:</w:t>
      </w:r>
      <w:r>
        <w:rPr>
          <w:sz w:val="24"/>
          <w:szCs w:val="24"/>
        </w:rPr>
        <w:t xml:space="preserve"> first version of cross burning statute in VA.</w:t>
      </w:r>
    </w:p>
    <w:p w:rsidR="00CF251D" w:rsidRDefault="00CF251D" w:rsidP="001B5DD6">
      <w:pPr>
        <w:pStyle w:val="ListParagraph"/>
        <w:numPr>
          <w:ilvl w:val="0"/>
          <w:numId w:val="7"/>
        </w:numPr>
        <w:spacing w:after="0"/>
        <w:rPr>
          <w:sz w:val="24"/>
          <w:szCs w:val="24"/>
        </w:rPr>
      </w:pPr>
      <w:r w:rsidRPr="00621DCB">
        <w:rPr>
          <w:b/>
          <w:sz w:val="24"/>
          <w:szCs w:val="24"/>
        </w:rPr>
        <w:t>1954:</w:t>
      </w:r>
      <w:r>
        <w:rPr>
          <w:sz w:val="24"/>
          <w:szCs w:val="24"/>
        </w:rPr>
        <w:t xml:space="preserve"> </w:t>
      </w:r>
      <w:r>
        <w:rPr>
          <w:i/>
          <w:sz w:val="24"/>
          <w:szCs w:val="24"/>
        </w:rPr>
        <w:t>Brown v. BOE</w:t>
      </w:r>
      <w:r>
        <w:rPr>
          <w:sz w:val="24"/>
          <w:szCs w:val="24"/>
        </w:rPr>
        <w:t xml:space="preserve"> decision sparked more KKK violence.</w:t>
      </w:r>
    </w:p>
    <w:p w:rsidR="00621DCB" w:rsidRPr="001B5DD6" w:rsidRDefault="00621DCB" w:rsidP="001B5DD6">
      <w:pPr>
        <w:pStyle w:val="ListParagraph"/>
        <w:numPr>
          <w:ilvl w:val="0"/>
          <w:numId w:val="7"/>
        </w:numPr>
        <w:spacing w:after="0"/>
        <w:rPr>
          <w:sz w:val="24"/>
          <w:szCs w:val="24"/>
        </w:rPr>
      </w:pPr>
      <w:r w:rsidRPr="00621DCB">
        <w:rPr>
          <w:b/>
          <w:sz w:val="24"/>
          <w:szCs w:val="24"/>
        </w:rPr>
        <w:t>1968:</w:t>
      </w:r>
      <w:r>
        <w:rPr>
          <w:sz w:val="24"/>
          <w:szCs w:val="24"/>
        </w:rPr>
        <w:t xml:space="preserve"> VA added prima facie cross-burning provision to statute</w:t>
      </w: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412085" w:rsidRPr="00412085" w:rsidRDefault="00412085" w:rsidP="00E003C7">
      <w:pPr>
        <w:pStyle w:val="ListParagraph"/>
        <w:numPr>
          <w:ilvl w:val="0"/>
          <w:numId w:val="7"/>
        </w:numPr>
        <w:spacing w:after="0"/>
        <w:rPr>
          <w:b/>
          <w:sz w:val="24"/>
          <w:szCs w:val="24"/>
        </w:rPr>
      </w:pPr>
      <w:r>
        <w:rPr>
          <w:b/>
          <w:sz w:val="24"/>
          <w:szCs w:val="24"/>
        </w:rPr>
        <w:t xml:space="preserve">Va. Code Ann. </w:t>
      </w:r>
      <w:r>
        <w:rPr>
          <w:rFonts w:cstheme="minorHAnsi"/>
          <w:b/>
          <w:sz w:val="24"/>
          <w:szCs w:val="24"/>
        </w:rPr>
        <w:t>§</w:t>
      </w:r>
      <w:r>
        <w:rPr>
          <w:b/>
          <w:sz w:val="24"/>
          <w:szCs w:val="24"/>
        </w:rPr>
        <w:t xml:space="preserve"> 18.2-423 (1996):</w:t>
      </w:r>
      <w:r>
        <w:rPr>
          <w:sz w:val="24"/>
          <w:szCs w:val="24"/>
        </w:rPr>
        <w:t xml:space="preserve"> bans cross burning with </w:t>
      </w:r>
      <w:proofErr w:type="gramStart"/>
      <w:r>
        <w:rPr>
          <w:sz w:val="24"/>
          <w:szCs w:val="24"/>
        </w:rPr>
        <w:t>an intent</w:t>
      </w:r>
      <w:proofErr w:type="gramEnd"/>
      <w:r>
        <w:rPr>
          <w:sz w:val="24"/>
          <w:szCs w:val="24"/>
        </w:rPr>
        <w:t xml:space="preserve"> to intimidate a person or group of persons. “Any such burning of a cross shall be prima facie evidence of </w:t>
      </w:r>
      <w:proofErr w:type="gramStart"/>
      <w:r>
        <w:rPr>
          <w:sz w:val="24"/>
          <w:szCs w:val="24"/>
        </w:rPr>
        <w:t>an intent</w:t>
      </w:r>
      <w:proofErr w:type="gramEnd"/>
      <w:r>
        <w:rPr>
          <w:sz w:val="24"/>
          <w:szCs w:val="24"/>
        </w:rPr>
        <w:t xml:space="preserve"> to intimidate a person or group of persons.”</w:t>
      </w:r>
    </w:p>
    <w:p w:rsidR="00E003C7" w:rsidRPr="00E003C7" w:rsidRDefault="00E003C7" w:rsidP="00E003C7">
      <w:pPr>
        <w:pStyle w:val="ListParagraph"/>
        <w:numPr>
          <w:ilvl w:val="0"/>
          <w:numId w:val="7"/>
        </w:numPr>
        <w:spacing w:after="0"/>
        <w:rPr>
          <w:b/>
          <w:sz w:val="24"/>
          <w:szCs w:val="24"/>
        </w:rPr>
      </w:pPr>
      <w:r>
        <w:rPr>
          <w:b/>
          <w:i/>
          <w:sz w:val="24"/>
          <w:szCs w:val="24"/>
        </w:rPr>
        <w:t xml:space="preserve">Capitol Square Review and Advisory Bd. v. </w:t>
      </w:r>
      <w:proofErr w:type="spellStart"/>
      <w:r>
        <w:rPr>
          <w:b/>
          <w:i/>
          <w:sz w:val="24"/>
          <w:szCs w:val="24"/>
        </w:rPr>
        <w:t>Pinette</w:t>
      </w:r>
      <w:proofErr w:type="spellEnd"/>
      <w:r>
        <w:rPr>
          <w:b/>
          <w:sz w:val="24"/>
          <w:szCs w:val="24"/>
        </w:rPr>
        <w:t>, 515 U. S. 753, 771 (1995):</w:t>
      </w:r>
      <w:r>
        <w:rPr>
          <w:sz w:val="24"/>
          <w:szCs w:val="24"/>
        </w:rPr>
        <w:t xml:space="preserve"> The burning of a cross is a “symbol of hate”</w:t>
      </w:r>
    </w:p>
    <w:p w:rsidR="00E003C7" w:rsidRPr="00E003C7" w:rsidRDefault="00E003C7" w:rsidP="00E003C7">
      <w:pPr>
        <w:pStyle w:val="ListParagraph"/>
        <w:numPr>
          <w:ilvl w:val="0"/>
          <w:numId w:val="7"/>
        </w:numPr>
        <w:spacing w:after="0"/>
        <w:rPr>
          <w:b/>
          <w:sz w:val="24"/>
          <w:szCs w:val="24"/>
        </w:rPr>
      </w:pPr>
      <w:proofErr w:type="spellStart"/>
      <w:r>
        <w:rPr>
          <w:b/>
          <w:i/>
          <w:sz w:val="24"/>
          <w:szCs w:val="24"/>
        </w:rPr>
        <w:t>Chaplinsky</w:t>
      </w:r>
      <w:proofErr w:type="spellEnd"/>
      <w:r>
        <w:rPr>
          <w:b/>
          <w:i/>
          <w:sz w:val="24"/>
          <w:szCs w:val="24"/>
        </w:rPr>
        <w:t xml:space="preserve"> v. New Hampshire</w:t>
      </w:r>
      <w:r>
        <w:rPr>
          <w:b/>
          <w:sz w:val="24"/>
          <w:szCs w:val="24"/>
        </w:rPr>
        <w:t xml:space="preserve">, 315 U. S. 568 (1942): </w:t>
      </w:r>
      <w:proofErr w:type="spellStart"/>
      <w:r>
        <w:rPr>
          <w:sz w:val="24"/>
          <w:szCs w:val="24"/>
        </w:rPr>
        <w:t>gov’t</w:t>
      </w:r>
      <w:proofErr w:type="spellEnd"/>
      <w:r>
        <w:rPr>
          <w:sz w:val="24"/>
          <w:szCs w:val="24"/>
        </w:rPr>
        <w:t xml:space="preserve"> can regulate certain content of speech.</w:t>
      </w:r>
    </w:p>
    <w:p w:rsidR="00E003C7" w:rsidRPr="00412085" w:rsidRDefault="00E003C7" w:rsidP="00E003C7">
      <w:pPr>
        <w:pStyle w:val="ListParagraph"/>
        <w:numPr>
          <w:ilvl w:val="0"/>
          <w:numId w:val="7"/>
        </w:numPr>
        <w:spacing w:after="0"/>
        <w:rPr>
          <w:b/>
          <w:sz w:val="24"/>
          <w:szCs w:val="24"/>
        </w:rPr>
      </w:pPr>
      <w:r>
        <w:rPr>
          <w:b/>
          <w:i/>
          <w:sz w:val="24"/>
          <w:szCs w:val="24"/>
        </w:rPr>
        <w:t>Watts v. United States</w:t>
      </w:r>
      <w:r>
        <w:rPr>
          <w:b/>
          <w:sz w:val="24"/>
          <w:szCs w:val="24"/>
        </w:rPr>
        <w:t>, 394 U. S. 705 (1969):</w:t>
      </w:r>
      <w:r>
        <w:rPr>
          <w:sz w:val="24"/>
          <w:szCs w:val="24"/>
        </w:rPr>
        <w:t xml:space="preserve"> </w:t>
      </w:r>
      <w:r w:rsidR="00412085">
        <w:rPr>
          <w:sz w:val="24"/>
          <w:szCs w:val="24"/>
        </w:rPr>
        <w:t>true threats are not protected speech</w:t>
      </w:r>
    </w:p>
    <w:p w:rsidR="00412085" w:rsidRPr="00542F6A" w:rsidRDefault="001B5DD6" w:rsidP="00E003C7">
      <w:pPr>
        <w:pStyle w:val="ListParagraph"/>
        <w:numPr>
          <w:ilvl w:val="0"/>
          <w:numId w:val="7"/>
        </w:numPr>
        <w:spacing w:after="0"/>
        <w:rPr>
          <w:b/>
          <w:sz w:val="24"/>
          <w:szCs w:val="24"/>
        </w:rPr>
      </w:pPr>
      <w:r>
        <w:rPr>
          <w:b/>
          <w:i/>
          <w:sz w:val="24"/>
          <w:szCs w:val="24"/>
        </w:rPr>
        <w:t>R. A. V. v. St. Paul</w:t>
      </w:r>
      <w:r>
        <w:rPr>
          <w:b/>
          <w:sz w:val="24"/>
          <w:szCs w:val="24"/>
        </w:rPr>
        <w:t>, 505 U. S. 377 (1992):</w:t>
      </w:r>
      <w:r>
        <w:t xml:space="preserve"> </w:t>
      </w:r>
      <w:r w:rsidRPr="00C62700">
        <w:rPr>
          <w:sz w:val="24"/>
          <w:szCs w:val="24"/>
        </w:rPr>
        <w:t>state may not proscribe speech it doesn’t like</w:t>
      </w:r>
      <w:r w:rsidR="00AD5F3E" w:rsidRPr="00C62700">
        <w:rPr>
          <w:sz w:val="24"/>
          <w:szCs w:val="24"/>
        </w:rPr>
        <w:t>; protected expression need not be speech</w:t>
      </w:r>
      <w:r w:rsidR="00C62700" w:rsidRPr="00C62700">
        <w:rPr>
          <w:sz w:val="24"/>
          <w:szCs w:val="24"/>
        </w:rPr>
        <w:t xml:space="preserve">.  But “[w]e did not hold in </w:t>
      </w:r>
      <w:r w:rsidR="00C62700" w:rsidRPr="00C62700">
        <w:rPr>
          <w:i/>
          <w:sz w:val="24"/>
          <w:szCs w:val="24"/>
        </w:rPr>
        <w:t>R. A. V.</w:t>
      </w:r>
      <w:r w:rsidR="00C62700" w:rsidRPr="00C62700">
        <w:rPr>
          <w:sz w:val="24"/>
          <w:szCs w:val="24"/>
        </w:rPr>
        <w:t xml:space="preserve"> that the First Amendment prohibits </w:t>
      </w:r>
      <w:r w:rsidR="00C62700" w:rsidRPr="00C62700">
        <w:rPr>
          <w:i/>
          <w:sz w:val="24"/>
          <w:szCs w:val="24"/>
        </w:rPr>
        <w:t>all</w:t>
      </w:r>
      <w:r w:rsidR="00C62700" w:rsidRPr="00C62700">
        <w:rPr>
          <w:sz w:val="24"/>
          <w:szCs w:val="24"/>
        </w:rPr>
        <w:t xml:space="preserve"> forms of content-based discrimination within a </w:t>
      </w:r>
      <w:proofErr w:type="spellStart"/>
      <w:r w:rsidR="00C62700" w:rsidRPr="00C62700">
        <w:rPr>
          <w:sz w:val="24"/>
          <w:szCs w:val="24"/>
        </w:rPr>
        <w:t>proscribable</w:t>
      </w:r>
      <w:proofErr w:type="spellEnd"/>
      <w:r w:rsidR="00C62700" w:rsidRPr="00C62700">
        <w:rPr>
          <w:sz w:val="24"/>
          <w:szCs w:val="24"/>
        </w:rPr>
        <w:t xml:space="preserve"> area of speech.” </w:t>
      </w:r>
      <w:r w:rsidR="00C62700" w:rsidRPr="00C62700">
        <w:rPr>
          <w:i/>
          <w:sz w:val="24"/>
          <w:szCs w:val="24"/>
        </w:rPr>
        <w:t>Black</w:t>
      </w:r>
      <w:r w:rsidR="00C62700" w:rsidRPr="00C62700">
        <w:rPr>
          <w:sz w:val="24"/>
          <w:szCs w:val="24"/>
        </w:rPr>
        <w:t>, at 361.</w:t>
      </w:r>
    </w:p>
    <w:p w:rsidR="00542F6A" w:rsidRPr="00542F6A" w:rsidRDefault="00542F6A" w:rsidP="00542F6A">
      <w:pPr>
        <w:pStyle w:val="ListParagraph"/>
        <w:numPr>
          <w:ilvl w:val="1"/>
          <w:numId w:val="7"/>
        </w:numPr>
        <w:spacing w:after="0"/>
        <w:rPr>
          <w:sz w:val="24"/>
          <w:szCs w:val="24"/>
        </w:rPr>
      </w:pPr>
      <w:r>
        <w:rPr>
          <w:sz w:val="24"/>
          <w:szCs w:val="24"/>
        </w:rPr>
        <w:t xml:space="preserve">From Souter’s concurrence-dissent: “The ordinance struck down in </w:t>
      </w:r>
      <w:r>
        <w:rPr>
          <w:i/>
          <w:sz w:val="24"/>
          <w:szCs w:val="24"/>
        </w:rPr>
        <w:t>R. A. V.</w:t>
      </w:r>
      <w:r>
        <w:rPr>
          <w:sz w:val="24"/>
          <w:szCs w:val="24"/>
        </w:rPr>
        <w:t xml:space="preserve">, as it had been construed by the State’s highest court, prohibited the use of symbols (including but not limited to a burning cross) as the equivalent of generally </w:t>
      </w:r>
      <w:proofErr w:type="spellStart"/>
      <w:r>
        <w:rPr>
          <w:sz w:val="24"/>
          <w:szCs w:val="24"/>
        </w:rPr>
        <w:t>proscribable</w:t>
      </w:r>
      <w:proofErr w:type="spellEnd"/>
      <w:r>
        <w:rPr>
          <w:sz w:val="24"/>
          <w:szCs w:val="24"/>
        </w:rPr>
        <w:t xml:space="preserve"> fighting words, but the ordinance applied only when the symbol was provocative ‘on the basis of race, color, creed, religion, or gender.’” (at 381, quoting St. Paul, Minn., Legis. Code </w:t>
      </w:r>
      <w:r>
        <w:rPr>
          <w:rFonts w:cstheme="minorHAnsi"/>
          <w:sz w:val="24"/>
          <w:szCs w:val="24"/>
        </w:rPr>
        <w:t>§</w:t>
      </w:r>
      <w:r>
        <w:rPr>
          <w:sz w:val="24"/>
          <w:szCs w:val="24"/>
        </w:rPr>
        <w:t xml:space="preserve"> 292.02 (1990))</w:t>
      </w:r>
    </w:p>
    <w:p w:rsidR="00CF251D" w:rsidRPr="00AD5F3E" w:rsidRDefault="00CF251D" w:rsidP="00E003C7">
      <w:pPr>
        <w:pStyle w:val="ListParagraph"/>
        <w:numPr>
          <w:ilvl w:val="0"/>
          <w:numId w:val="7"/>
        </w:numPr>
        <w:spacing w:after="0"/>
        <w:rPr>
          <w:b/>
          <w:sz w:val="24"/>
          <w:szCs w:val="24"/>
        </w:rPr>
      </w:pPr>
      <w:r>
        <w:rPr>
          <w:b/>
          <w:i/>
          <w:sz w:val="24"/>
          <w:szCs w:val="24"/>
        </w:rPr>
        <w:t>Abrams v.</w:t>
      </w:r>
      <w:r>
        <w:rPr>
          <w:b/>
          <w:sz w:val="24"/>
          <w:szCs w:val="24"/>
        </w:rPr>
        <w:t xml:space="preserve"> </w:t>
      </w:r>
      <w:r>
        <w:rPr>
          <w:b/>
          <w:i/>
          <w:sz w:val="24"/>
          <w:szCs w:val="24"/>
        </w:rPr>
        <w:t>U.S.</w:t>
      </w:r>
      <w:r>
        <w:rPr>
          <w:b/>
          <w:sz w:val="24"/>
          <w:szCs w:val="24"/>
        </w:rPr>
        <w:t>, 250 U. S. 616, 630 (1919) (Holmes, J., dissenting):</w:t>
      </w:r>
      <w:r w:rsidR="00AD5F3E">
        <w:rPr>
          <w:sz w:val="24"/>
          <w:szCs w:val="24"/>
        </w:rPr>
        <w:t xml:space="preserve"> protection of speech for free trade in ideas, even those that are distasteful to people</w:t>
      </w:r>
    </w:p>
    <w:p w:rsidR="00AD5F3E" w:rsidRPr="00AD5F3E" w:rsidRDefault="00AD5F3E" w:rsidP="00E003C7">
      <w:pPr>
        <w:pStyle w:val="ListParagraph"/>
        <w:numPr>
          <w:ilvl w:val="0"/>
          <w:numId w:val="7"/>
        </w:numPr>
        <w:spacing w:after="0"/>
        <w:rPr>
          <w:b/>
          <w:sz w:val="24"/>
          <w:szCs w:val="24"/>
        </w:rPr>
      </w:pPr>
      <w:r>
        <w:rPr>
          <w:b/>
          <w:i/>
          <w:sz w:val="24"/>
          <w:szCs w:val="24"/>
        </w:rPr>
        <w:t>Texas v. Johnson</w:t>
      </w:r>
      <w:r>
        <w:rPr>
          <w:b/>
          <w:sz w:val="24"/>
          <w:szCs w:val="24"/>
        </w:rPr>
        <w:t xml:space="preserve">, 491 U. S. 397, 414 (1989): </w:t>
      </w:r>
      <w:r>
        <w:rPr>
          <w:sz w:val="24"/>
          <w:szCs w:val="24"/>
        </w:rPr>
        <w:t xml:space="preserve"> </w:t>
      </w:r>
      <w:proofErr w:type="spellStart"/>
      <w:r>
        <w:rPr>
          <w:sz w:val="24"/>
          <w:szCs w:val="24"/>
        </w:rPr>
        <w:t>gov’t</w:t>
      </w:r>
      <w:proofErr w:type="spellEnd"/>
      <w:r>
        <w:rPr>
          <w:sz w:val="24"/>
          <w:szCs w:val="24"/>
        </w:rPr>
        <w:t xml:space="preserve"> can’t prevent speech just because it is distasteful</w:t>
      </w:r>
    </w:p>
    <w:p w:rsidR="00AD5F3E" w:rsidRPr="00AD5F3E" w:rsidRDefault="00AD5F3E" w:rsidP="00E003C7">
      <w:pPr>
        <w:pStyle w:val="ListParagraph"/>
        <w:numPr>
          <w:ilvl w:val="0"/>
          <w:numId w:val="7"/>
        </w:numPr>
        <w:spacing w:after="0"/>
        <w:rPr>
          <w:b/>
          <w:sz w:val="24"/>
          <w:szCs w:val="24"/>
        </w:rPr>
      </w:pPr>
      <w:r>
        <w:rPr>
          <w:b/>
          <w:i/>
          <w:sz w:val="24"/>
          <w:szCs w:val="24"/>
        </w:rPr>
        <w:t>Whitney v. CA</w:t>
      </w:r>
      <w:r>
        <w:rPr>
          <w:b/>
          <w:sz w:val="24"/>
          <w:szCs w:val="24"/>
        </w:rPr>
        <w:t>, 274 U. S. 357, 374 (1927) (Brandeis, J., concurring):</w:t>
      </w:r>
      <w:r>
        <w:rPr>
          <w:sz w:val="24"/>
          <w:szCs w:val="24"/>
        </w:rPr>
        <w:t xml:space="preserve"> State can’t prohibit speech even if it’s socially abhorrent.</w:t>
      </w:r>
    </w:p>
    <w:p w:rsidR="00AD5F3E" w:rsidRPr="00AD5F3E" w:rsidRDefault="00AD5F3E" w:rsidP="00E003C7">
      <w:pPr>
        <w:pStyle w:val="ListParagraph"/>
        <w:numPr>
          <w:ilvl w:val="0"/>
          <w:numId w:val="7"/>
        </w:numPr>
        <w:spacing w:after="0"/>
        <w:rPr>
          <w:b/>
          <w:sz w:val="24"/>
          <w:szCs w:val="24"/>
        </w:rPr>
      </w:pPr>
      <w:r>
        <w:rPr>
          <w:b/>
          <w:i/>
          <w:sz w:val="24"/>
          <w:szCs w:val="24"/>
        </w:rPr>
        <w:t>U.S. v. O’Brien</w:t>
      </w:r>
      <w:r>
        <w:rPr>
          <w:b/>
          <w:sz w:val="24"/>
          <w:szCs w:val="24"/>
        </w:rPr>
        <w:t>, 391 U. S. 367, 376-377 (1968):</w:t>
      </w:r>
      <w:r>
        <w:rPr>
          <w:sz w:val="24"/>
          <w:szCs w:val="24"/>
        </w:rPr>
        <w:t xml:space="preserve"> Draft card burning</w:t>
      </w:r>
    </w:p>
    <w:p w:rsidR="00AD5F3E" w:rsidRDefault="00AD5F3E" w:rsidP="00E003C7">
      <w:pPr>
        <w:pStyle w:val="ListParagraph"/>
        <w:numPr>
          <w:ilvl w:val="0"/>
          <w:numId w:val="7"/>
        </w:numPr>
        <w:spacing w:after="0"/>
        <w:rPr>
          <w:b/>
          <w:sz w:val="24"/>
          <w:szCs w:val="24"/>
        </w:rPr>
      </w:pPr>
      <w:r>
        <w:rPr>
          <w:b/>
          <w:i/>
          <w:sz w:val="24"/>
          <w:szCs w:val="24"/>
        </w:rPr>
        <w:t>Tinker v. Des  Moines</w:t>
      </w:r>
      <w:r>
        <w:rPr>
          <w:b/>
          <w:sz w:val="24"/>
          <w:szCs w:val="24"/>
        </w:rPr>
        <w:t>, 393 U. S. 503, 505 (1969)</w:t>
      </w:r>
    </w:p>
    <w:p w:rsidR="00AD5F3E" w:rsidRPr="00AD5F3E" w:rsidRDefault="00AD5F3E" w:rsidP="00E003C7">
      <w:pPr>
        <w:pStyle w:val="ListParagraph"/>
        <w:numPr>
          <w:ilvl w:val="0"/>
          <w:numId w:val="7"/>
        </w:numPr>
        <w:spacing w:after="0"/>
        <w:rPr>
          <w:b/>
          <w:sz w:val="24"/>
          <w:szCs w:val="24"/>
        </w:rPr>
      </w:pPr>
      <w:r>
        <w:rPr>
          <w:b/>
          <w:i/>
          <w:sz w:val="24"/>
          <w:szCs w:val="24"/>
        </w:rPr>
        <w:t>Cohen v. CA</w:t>
      </w:r>
      <w:r>
        <w:rPr>
          <w:b/>
          <w:sz w:val="24"/>
          <w:szCs w:val="24"/>
        </w:rPr>
        <w:t>, 403 U. S. 15, 20 (1971):</w:t>
      </w:r>
      <w:r>
        <w:rPr>
          <w:sz w:val="24"/>
          <w:szCs w:val="24"/>
        </w:rPr>
        <w:t xml:space="preserve"> fighting words</w:t>
      </w:r>
    </w:p>
    <w:p w:rsidR="00AD5F3E" w:rsidRPr="00AD5F3E" w:rsidRDefault="00AD5F3E" w:rsidP="00E003C7">
      <w:pPr>
        <w:pStyle w:val="ListParagraph"/>
        <w:numPr>
          <w:ilvl w:val="0"/>
          <w:numId w:val="7"/>
        </w:numPr>
        <w:spacing w:after="0"/>
        <w:rPr>
          <w:b/>
          <w:sz w:val="24"/>
          <w:szCs w:val="24"/>
        </w:rPr>
      </w:pPr>
      <w:proofErr w:type="spellStart"/>
      <w:r>
        <w:rPr>
          <w:b/>
          <w:i/>
          <w:sz w:val="24"/>
          <w:szCs w:val="24"/>
        </w:rPr>
        <w:t>Brandenberg</w:t>
      </w:r>
      <w:proofErr w:type="spellEnd"/>
      <w:r>
        <w:rPr>
          <w:b/>
          <w:i/>
          <w:sz w:val="24"/>
          <w:szCs w:val="24"/>
        </w:rPr>
        <w:t xml:space="preserve"> v. OH</w:t>
      </w:r>
      <w:r>
        <w:rPr>
          <w:b/>
          <w:sz w:val="24"/>
          <w:szCs w:val="24"/>
        </w:rPr>
        <w:t xml:space="preserve">, 395 U. S. 444, 447 (1969) (per </w:t>
      </w:r>
      <w:proofErr w:type="spellStart"/>
      <w:r>
        <w:rPr>
          <w:b/>
          <w:sz w:val="24"/>
          <w:szCs w:val="24"/>
        </w:rPr>
        <w:t>curiam</w:t>
      </w:r>
      <w:proofErr w:type="spellEnd"/>
      <w:r>
        <w:rPr>
          <w:b/>
          <w:sz w:val="24"/>
          <w:szCs w:val="24"/>
        </w:rPr>
        <w:t>):</w:t>
      </w:r>
      <w:r>
        <w:rPr>
          <w:sz w:val="24"/>
          <w:szCs w:val="24"/>
        </w:rPr>
        <w:t xml:space="preserve"> State can only proscribe advocacy of law violation if the speech is directed to producing the lawlessness</w:t>
      </w:r>
    </w:p>
    <w:p w:rsidR="00AD5F3E" w:rsidRPr="00477F53" w:rsidRDefault="00AD5F3E" w:rsidP="00E003C7">
      <w:pPr>
        <w:pStyle w:val="ListParagraph"/>
        <w:numPr>
          <w:ilvl w:val="0"/>
          <w:numId w:val="7"/>
        </w:numPr>
        <w:spacing w:after="0"/>
        <w:rPr>
          <w:b/>
          <w:sz w:val="24"/>
          <w:szCs w:val="24"/>
        </w:rPr>
      </w:pPr>
      <w:r>
        <w:rPr>
          <w:b/>
          <w:i/>
          <w:sz w:val="24"/>
          <w:szCs w:val="24"/>
        </w:rPr>
        <w:lastRenderedPageBreak/>
        <w:t>Madsen v. Women’s Health Center, Inc.</w:t>
      </w:r>
      <w:r>
        <w:rPr>
          <w:b/>
          <w:sz w:val="24"/>
          <w:szCs w:val="24"/>
        </w:rPr>
        <w:t>, 512 U. S. 753, 774 (1994):</w:t>
      </w:r>
      <w:r>
        <w:rPr>
          <w:sz w:val="24"/>
          <w:szCs w:val="24"/>
        </w:rPr>
        <w:t xml:space="preserve"> proximity limits to clinic during protests challenged as violations of free speech; true threats</w:t>
      </w:r>
    </w:p>
    <w:p w:rsidR="00477F53" w:rsidRPr="00E003C7" w:rsidRDefault="00477F53" w:rsidP="00E003C7">
      <w:pPr>
        <w:pStyle w:val="ListParagraph"/>
        <w:numPr>
          <w:ilvl w:val="0"/>
          <w:numId w:val="7"/>
        </w:numPr>
        <w:spacing w:after="0"/>
        <w:rPr>
          <w:b/>
          <w:sz w:val="24"/>
          <w:szCs w:val="24"/>
        </w:rPr>
      </w:pPr>
      <w:r>
        <w:rPr>
          <w:b/>
          <w:i/>
          <w:sz w:val="24"/>
          <w:szCs w:val="24"/>
        </w:rPr>
        <w:t>Members of City Council of Los Angeles v. Taxpayers for Vincent</w:t>
      </w:r>
      <w:r>
        <w:rPr>
          <w:b/>
          <w:sz w:val="24"/>
          <w:szCs w:val="24"/>
        </w:rPr>
        <w:t xml:space="preserve">, 466 U. S. 789, 797 (1984): </w:t>
      </w:r>
      <w:r>
        <w:rPr>
          <w:sz w:val="24"/>
          <w:szCs w:val="24"/>
        </w:rPr>
        <w:t>a statute against certain content or symbolic speech may generally chill the expression of ideas.</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6309A8">
        <w:rPr>
          <w:b/>
          <w:sz w:val="24"/>
          <w:szCs w:val="24"/>
        </w:rPr>
        <w:t>/Discussion</w:t>
      </w:r>
      <w:r>
        <w:rPr>
          <w:b/>
          <w:sz w:val="24"/>
          <w:szCs w:val="24"/>
        </w:rPr>
        <w:t>:</w:t>
      </w:r>
    </w:p>
    <w:p w:rsidR="00E003C7" w:rsidRPr="00CF251D" w:rsidRDefault="00CF251D" w:rsidP="00E003C7">
      <w:pPr>
        <w:pStyle w:val="ListParagraph"/>
        <w:numPr>
          <w:ilvl w:val="0"/>
          <w:numId w:val="7"/>
        </w:numPr>
        <w:spacing w:after="0"/>
        <w:rPr>
          <w:b/>
          <w:sz w:val="24"/>
          <w:szCs w:val="24"/>
        </w:rPr>
      </w:pPr>
      <w:r>
        <w:rPr>
          <w:sz w:val="24"/>
          <w:szCs w:val="24"/>
        </w:rPr>
        <w:t>“Throughout the history of the Klan, cross burnings have also remained potent symbols of shared group identity and ideology. The burning cross became a symbol of the Klan itself and a central feature of Klan gatherings.” (356)</w:t>
      </w:r>
    </w:p>
    <w:p w:rsidR="00CF251D" w:rsidRPr="00CF251D" w:rsidRDefault="00CF251D" w:rsidP="00E003C7">
      <w:pPr>
        <w:pStyle w:val="ListParagraph"/>
        <w:numPr>
          <w:ilvl w:val="0"/>
          <w:numId w:val="7"/>
        </w:numPr>
        <w:spacing w:after="0"/>
        <w:rPr>
          <w:b/>
          <w:sz w:val="24"/>
          <w:szCs w:val="24"/>
        </w:rPr>
      </w:pPr>
      <w:r>
        <w:rPr>
          <w:sz w:val="24"/>
          <w:szCs w:val="24"/>
        </w:rPr>
        <w:t xml:space="preserve">“…while cross burning sometimes carries no intimidating message, at other times the intimidating message is the </w:t>
      </w:r>
      <w:r>
        <w:rPr>
          <w:i/>
          <w:sz w:val="24"/>
          <w:szCs w:val="24"/>
        </w:rPr>
        <w:t xml:space="preserve">only </w:t>
      </w:r>
      <w:r>
        <w:rPr>
          <w:sz w:val="24"/>
          <w:szCs w:val="24"/>
        </w:rPr>
        <w:t>message conveyed.” (357)</w:t>
      </w:r>
    </w:p>
    <w:p w:rsidR="00CF251D" w:rsidRPr="00AD5F3E" w:rsidRDefault="00CF251D" w:rsidP="00E003C7">
      <w:pPr>
        <w:pStyle w:val="ListParagraph"/>
        <w:numPr>
          <w:ilvl w:val="0"/>
          <w:numId w:val="7"/>
        </w:numPr>
        <w:spacing w:after="0"/>
        <w:rPr>
          <w:b/>
          <w:sz w:val="24"/>
          <w:szCs w:val="24"/>
        </w:rPr>
      </w:pPr>
      <w:r>
        <w:rPr>
          <w:sz w:val="24"/>
          <w:szCs w:val="24"/>
        </w:rPr>
        <w:t>“In sum, while a burning cross does not inevitably convey a message of intimidation, often the cross burner intends that the recipients of the message fear for their lives.” (357)</w:t>
      </w:r>
    </w:p>
    <w:p w:rsidR="00AD5F3E" w:rsidRPr="00C62700" w:rsidRDefault="00AD5F3E" w:rsidP="00E003C7">
      <w:pPr>
        <w:pStyle w:val="ListParagraph"/>
        <w:numPr>
          <w:ilvl w:val="0"/>
          <w:numId w:val="7"/>
        </w:numPr>
        <w:spacing w:after="0"/>
        <w:rPr>
          <w:b/>
          <w:sz w:val="24"/>
          <w:szCs w:val="24"/>
        </w:rPr>
      </w:pPr>
      <w:r>
        <w:rPr>
          <w:sz w:val="24"/>
          <w:szCs w:val="24"/>
        </w:rPr>
        <w:t>“’True threats’ encompass those statements where the speaker means to communicate a serious expression of an intent to commit an act of unlawful violence to a particular individual or group of individuals.” (359)</w:t>
      </w:r>
    </w:p>
    <w:p w:rsidR="00C62700" w:rsidRPr="00621DCB" w:rsidRDefault="00C62700" w:rsidP="00E003C7">
      <w:pPr>
        <w:pStyle w:val="ListParagraph"/>
        <w:numPr>
          <w:ilvl w:val="0"/>
          <w:numId w:val="7"/>
        </w:numPr>
        <w:spacing w:after="0"/>
        <w:rPr>
          <w:b/>
          <w:sz w:val="24"/>
          <w:szCs w:val="24"/>
        </w:rPr>
      </w:pPr>
      <w:r>
        <w:rPr>
          <w:sz w:val="24"/>
          <w:szCs w:val="24"/>
        </w:rPr>
        <w:t>Majority disagrees with VA Supreme Court’s conclusion that “once a statute discriminates on the basis of [symbolic expression], the law is unconstitutional.” (361)</w:t>
      </w:r>
    </w:p>
    <w:p w:rsidR="00621DCB" w:rsidRPr="00621DCB" w:rsidRDefault="00621DCB" w:rsidP="00621DCB">
      <w:pPr>
        <w:pStyle w:val="ListParagraph"/>
        <w:numPr>
          <w:ilvl w:val="1"/>
          <w:numId w:val="7"/>
        </w:numPr>
        <w:spacing w:after="0"/>
        <w:rPr>
          <w:b/>
          <w:sz w:val="24"/>
          <w:szCs w:val="24"/>
        </w:rPr>
      </w:pPr>
      <w:r>
        <w:rPr>
          <w:sz w:val="24"/>
          <w:szCs w:val="24"/>
        </w:rPr>
        <w:t xml:space="preserve">Re. </w:t>
      </w:r>
      <w:r>
        <w:rPr>
          <w:i/>
          <w:sz w:val="24"/>
          <w:szCs w:val="24"/>
        </w:rPr>
        <w:t>R. A. V.</w:t>
      </w:r>
      <w:r>
        <w:rPr>
          <w:sz w:val="24"/>
          <w:szCs w:val="24"/>
        </w:rPr>
        <w:t>: “some types of content discrimination did not violate the First Amendment.” (361)</w:t>
      </w:r>
    </w:p>
    <w:p w:rsidR="00621DCB" w:rsidRPr="00621DCB" w:rsidRDefault="00621DCB" w:rsidP="00621DCB">
      <w:pPr>
        <w:pStyle w:val="ListParagraph"/>
        <w:numPr>
          <w:ilvl w:val="1"/>
          <w:numId w:val="7"/>
        </w:numPr>
        <w:spacing w:after="0"/>
        <w:rPr>
          <w:b/>
          <w:sz w:val="24"/>
          <w:szCs w:val="24"/>
        </w:rPr>
      </w:pPr>
      <w:r>
        <w:rPr>
          <w:sz w:val="24"/>
          <w:szCs w:val="24"/>
        </w:rPr>
        <w:t xml:space="preserve">Some kinds of content are across-the-board </w:t>
      </w:r>
      <w:proofErr w:type="spellStart"/>
      <w:r>
        <w:rPr>
          <w:sz w:val="24"/>
          <w:szCs w:val="24"/>
        </w:rPr>
        <w:t>proscribable</w:t>
      </w:r>
      <w:proofErr w:type="spellEnd"/>
      <w:r>
        <w:rPr>
          <w:sz w:val="24"/>
          <w:szCs w:val="24"/>
        </w:rPr>
        <w:t xml:space="preserve">, like threats against the president or obviously offensive obscenity, or cross burning </w:t>
      </w:r>
      <w:r w:rsidRPr="00621DCB">
        <w:rPr>
          <w:i/>
          <w:sz w:val="24"/>
          <w:szCs w:val="24"/>
        </w:rPr>
        <w:t>with intent to intimidate</w:t>
      </w:r>
      <w:r>
        <w:rPr>
          <w:sz w:val="24"/>
          <w:szCs w:val="24"/>
        </w:rPr>
        <w:t>.</w:t>
      </w:r>
    </w:p>
    <w:p w:rsidR="00621DCB" w:rsidRPr="00477F53" w:rsidRDefault="00621DCB" w:rsidP="00621DCB">
      <w:pPr>
        <w:pStyle w:val="ListParagraph"/>
        <w:numPr>
          <w:ilvl w:val="0"/>
          <w:numId w:val="7"/>
        </w:numPr>
        <w:spacing w:after="0"/>
        <w:rPr>
          <w:b/>
          <w:sz w:val="24"/>
          <w:szCs w:val="24"/>
        </w:rPr>
      </w:pPr>
      <w:r>
        <w:rPr>
          <w:sz w:val="24"/>
          <w:szCs w:val="24"/>
        </w:rPr>
        <w:t xml:space="preserve">“As construed by the jury instruction, the prima facie provision strips away the very reason why a State may ban cross burning with the intent to intimidate. The prima facie evidence provision permits a jury to convict in every cross-burning case in which defendants exercise their constitutional right not to put on a defense. And even where a defendant like Black presents a defense, the prima facie evidence provision makes it more likely that the jury will find </w:t>
      </w:r>
      <w:proofErr w:type="gramStart"/>
      <w:r>
        <w:rPr>
          <w:sz w:val="24"/>
          <w:szCs w:val="24"/>
        </w:rPr>
        <w:t>an intent</w:t>
      </w:r>
      <w:proofErr w:type="gramEnd"/>
      <w:r>
        <w:rPr>
          <w:sz w:val="24"/>
          <w:szCs w:val="24"/>
        </w:rPr>
        <w:t xml:space="preserve"> to intimidate regardless of the particular facts of the case.</w:t>
      </w:r>
      <w:r w:rsidR="00477F53">
        <w:rPr>
          <w:sz w:val="24"/>
          <w:szCs w:val="24"/>
        </w:rPr>
        <w:t xml:space="preserve"> </w:t>
      </w:r>
      <w:r w:rsidR="00477F53" w:rsidRPr="00477F53">
        <w:rPr>
          <w:b/>
          <w:color w:val="FF0000"/>
          <w:sz w:val="24"/>
          <w:szCs w:val="24"/>
        </w:rPr>
        <w:t>The provision permits the Commonwealth to arrest, prosecute, and convict a person based solely on the fact of cross burning itself.</w:t>
      </w:r>
      <w:r w:rsidR="00477F53">
        <w:rPr>
          <w:sz w:val="24"/>
          <w:szCs w:val="24"/>
        </w:rPr>
        <w:t>” (365)</w:t>
      </w:r>
    </w:p>
    <w:p w:rsidR="00477F53" w:rsidRPr="00477F53" w:rsidRDefault="00477F53" w:rsidP="00621DCB">
      <w:pPr>
        <w:pStyle w:val="ListParagraph"/>
        <w:numPr>
          <w:ilvl w:val="0"/>
          <w:numId w:val="7"/>
        </w:numPr>
        <w:spacing w:after="0"/>
        <w:rPr>
          <w:b/>
          <w:sz w:val="24"/>
          <w:szCs w:val="24"/>
        </w:rPr>
      </w:pPr>
      <w:r w:rsidRPr="00477F53">
        <w:rPr>
          <w:b/>
          <w:color w:val="0070C0"/>
          <w:sz w:val="24"/>
          <w:szCs w:val="24"/>
        </w:rPr>
        <w:t xml:space="preserve">“The act of burning a cross may mean that a person is engaging in constitutionally </w:t>
      </w:r>
      <w:proofErr w:type="spellStart"/>
      <w:r w:rsidRPr="00477F53">
        <w:rPr>
          <w:b/>
          <w:color w:val="0070C0"/>
          <w:sz w:val="24"/>
          <w:szCs w:val="24"/>
        </w:rPr>
        <w:t>proscribable</w:t>
      </w:r>
      <w:proofErr w:type="spellEnd"/>
      <w:r w:rsidRPr="00477F53">
        <w:rPr>
          <w:b/>
          <w:color w:val="0070C0"/>
          <w:sz w:val="24"/>
          <w:szCs w:val="24"/>
        </w:rPr>
        <w:t xml:space="preserve"> intimidation. But that same act may mean only that the person is engaged in core political speech.”</w:t>
      </w:r>
      <w:r>
        <w:rPr>
          <w:sz w:val="24"/>
          <w:szCs w:val="24"/>
        </w:rPr>
        <w:t xml:space="preserve"> (365)</w:t>
      </w:r>
    </w:p>
    <w:p w:rsidR="00552EC4" w:rsidRDefault="00552EC4" w:rsidP="00C87419">
      <w:pPr>
        <w:spacing w:after="0"/>
        <w:rPr>
          <w:b/>
          <w:sz w:val="24"/>
          <w:szCs w:val="24"/>
        </w:rPr>
      </w:pPr>
    </w:p>
    <w:p w:rsidR="00765A9A" w:rsidRDefault="00552EC4" w:rsidP="00C87419">
      <w:pPr>
        <w:spacing w:after="0"/>
        <w:rPr>
          <w:sz w:val="24"/>
          <w:szCs w:val="24"/>
        </w:rPr>
      </w:pPr>
      <w:r>
        <w:rPr>
          <w:b/>
          <w:sz w:val="24"/>
          <w:szCs w:val="24"/>
        </w:rPr>
        <w:t>Concurrence</w:t>
      </w:r>
      <w:r w:rsidR="00F11CF9">
        <w:rPr>
          <w:b/>
          <w:sz w:val="24"/>
          <w:szCs w:val="24"/>
        </w:rPr>
        <w:t>: Stevens</w:t>
      </w:r>
    </w:p>
    <w:p w:rsidR="00F11CF9" w:rsidRPr="00F11CF9" w:rsidRDefault="00311223" w:rsidP="00F11CF9">
      <w:pPr>
        <w:pStyle w:val="ListParagraph"/>
        <w:numPr>
          <w:ilvl w:val="0"/>
          <w:numId w:val="7"/>
        </w:numPr>
        <w:spacing w:after="0"/>
        <w:rPr>
          <w:sz w:val="24"/>
          <w:szCs w:val="24"/>
        </w:rPr>
      </w:pPr>
      <w:r>
        <w:rPr>
          <w:sz w:val="24"/>
          <w:szCs w:val="24"/>
        </w:rPr>
        <w:t>Cross burning with the intent to intimidate counts as unprotected speech. This part of the VA statute is sound, even though it’s narrowly tailored to only this kind of expressive conduct.</w:t>
      </w:r>
    </w:p>
    <w:p w:rsidR="008E590A" w:rsidRDefault="008E590A" w:rsidP="00C87419">
      <w:pPr>
        <w:spacing w:after="0"/>
        <w:rPr>
          <w:b/>
          <w:sz w:val="24"/>
          <w:szCs w:val="24"/>
        </w:rPr>
      </w:pPr>
    </w:p>
    <w:p w:rsidR="00F653C0" w:rsidRDefault="00F653C0" w:rsidP="00C87419">
      <w:pPr>
        <w:spacing w:after="0"/>
        <w:rPr>
          <w:b/>
          <w:sz w:val="24"/>
          <w:szCs w:val="24"/>
        </w:rPr>
      </w:pPr>
    </w:p>
    <w:p w:rsidR="00F653C0" w:rsidRDefault="00F653C0" w:rsidP="00C87419">
      <w:pPr>
        <w:spacing w:after="0"/>
        <w:rPr>
          <w:b/>
          <w:sz w:val="24"/>
          <w:szCs w:val="24"/>
        </w:rPr>
      </w:pPr>
    </w:p>
    <w:p w:rsidR="00F653C0" w:rsidRDefault="00F653C0" w:rsidP="00C87419">
      <w:pPr>
        <w:spacing w:after="0"/>
        <w:rPr>
          <w:b/>
          <w:sz w:val="24"/>
          <w:szCs w:val="24"/>
        </w:rPr>
      </w:pPr>
    </w:p>
    <w:p w:rsidR="00F653C0" w:rsidRDefault="00F653C0" w:rsidP="00C87419">
      <w:pPr>
        <w:spacing w:after="0"/>
        <w:rPr>
          <w:b/>
          <w:sz w:val="24"/>
          <w:szCs w:val="24"/>
        </w:rPr>
      </w:pPr>
    </w:p>
    <w:p w:rsidR="0091571C" w:rsidRDefault="00311223" w:rsidP="008558E2">
      <w:pPr>
        <w:spacing w:after="0"/>
        <w:rPr>
          <w:sz w:val="24"/>
          <w:szCs w:val="24"/>
        </w:rPr>
      </w:pPr>
      <w:r>
        <w:rPr>
          <w:b/>
          <w:sz w:val="24"/>
          <w:szCs w:val="24"/>
        </w:rPr>
        <w:lastRenderedPageBreak/>
        <w:t>Concurrence-</w:t>
      </w:r>
      <w:r w:rsidR="00E16E68">
        <w:rPr>
          <w:b/>
          <w:sz w:val="24"/>
          <w:szCs w:val="24"/>
        </w:rPr>
        <w:t>Dissent</w:t>
      </w:r>
      <w:r>
        <w:rPr>
          <w:b/>
          <w:sz w:val="24"/>
          <w:szCs w:val="24"/>
        </w:rPr>
        <w:t>: Scalia (with Thomas)</w:t>
      </w:r>
    </w:p>
    <w:p w:rsidR="00311223" w:rsidRDefault="00311223" w:rsidP="00311223">
      <w:pPr>
        <w:pStyle w:val="ListParagraph"/>
        <w:numPr>
          <w:ilvl w:val="0"/>
          <w:numId w:val="7"/>
        </w:numPr>
        <w:spacing w:after="0"/>
        <w:rPr>
          <w:sz w:val="24"/>
          <w:szCs w:val="24"/>
        </w:rPr>
      </w:pPr>
      <w:r>
        <w:rPr>
          <w:sz w:val="24"/>
          <w:szCs w:val="24"/>
        </w:rPr>
        <w:t xml:space="preserve">Agrees that cross burning with </w:t>
      </w:r>
      <w:proofErr w:type="gramStart"/>
      <w:r>
        <w:rPr>
          <w:sz w:val="24"/>
          <w:szCs w:val="24"/>
        </w:rPr>
        <w:t>an intent</w:t>
      </w:r>
      <w:proofErr w:type="gramEnd"/>
      <w:r>
        <w:rPr>
          <w:sz w:val="24"/>
          <w:szCs w:val="24"/>
        </w:rPr>
        <w:t xml:space="preserve"> to intimidate is unprotected speech.</w:t>
      </w:r>
    </w:p>
    <w:p w:rsidR="00311223" w:rsidRDefault="00311223" w:rsidP="00311223">
      <w:pPr>
        <w:pStyle w:val="ListParagraph"/>
        <w:numPr>
          <w:ilvl w:val="0"/>
          <w:numId w:val="7"/>
        </w:numPr>
        <w:spacing w:after="0"/>
        <w:rPr>
          <w:sz w:val="24"/>
          <w:szCs w:val="24"/>
        </w:rPr>
      </w:pPr>
      <w:r>
        <w:rPr>
          <w:sz w:val="24"/>
          <w:szCs w:val="24"/>
        </w:rPr>
        <w:t xml:space="preserve">There’s a better interpretation of that prima facie provision, so it shouldn’t be facially invalidated: </w:t>
      </w:r>
    </w:p>
    <w:p w:rsidR="00311223" w:rsidRDefault="00311223" w:rsidP="00311223">
      <w:pPr>
        <w:pStyle w:val="ListParagraph"/>
        <w:numPr>
          <w:ilvl w:val="1"/>
          <w:numId w:val="7"/>
        </w:numPr>
        <w:spacing w:after="0"/>
        <w:rPr>
          <w:sz w:val="24"/>
          <w:szCs w:val="24"/>
        </w:rPr>
      </w:pPr>
      <w:r>
        <w:rPr>
          <w:sz w:val="24"/>
          <w:szCs w:val="24"/>
        </w:rPr>
        <w:t>Prima facie evidence is sufficient to establish a given fact (presumption of a given fact) (e.g., possession of “burglarious” tools is to be considered prima facie evidence of intent).</w:t>
      </w:r>
    </w:p>
    <w:p w:rsidR="00DF5D24" w:rsidRDefault="00311223" w:rsidP="00311223">
      <w:pPr>
        <w:pStyle w:val="ListParagraph"/>
        <w:numPr>
          <w:ilvl w:val="1"/>
          <w:numId w:val="7"/>
        </w:numPr>
        <w:spacing w:after="0"/>
        <w:rPr>
          <w:sz w:val="24"/>
          <w:szCs w:val="24"/>
        </w:rPr>
      </w:pPr>
      <w:r>
        <w:rPr>
          <w:sz w:val="24"/>
          <w:szCs w:val="24"/>
        </w:rPr>
        <w:t xml:space="preserve">“The established meaning in Virginia, then, of the term ‘prima facie evidence’ appears to be perfectly orthodox: It is evidence that suffices, on its own, to establish a particular fact. But it is hornbook law that this is true only to the extent that the evidence goes </w:t>
      </w:r>
      <w:proofErr w:type="spellStart"/>
      <w:r>
        <w:rPr>
          <w:sz w:val="24"/>
          <w:szCs w:val="24"/>
        </w:rPr>
        <w:t>unrebutted</w:t>
      </w:r>
      <w:proofErr w:type="spellEnd"/>
      <w:r>
        <w:rPr>
          <w:sz w:val="24"/>
          <w:szCs w:val="24"/>
        </w:rPr>
        <w:t>.” (369-70</w:t>
      </w:r>
      <w:r w:rsidR="00DF5D24">
        <w:rPr>
          <w:sz w:val="24"/>
          <w:szCs w:val="24"/>
        </w:rPr>
        <w:t>)</w:t>
      </w:r>
    </w:p>
    <w:p w:rsidR="00311223" w:rsidRDefault="00DF5D24" w:rsidP="00311223">
      <w:pPr>
        <w:pStyle w:val="ListParagraph"/>
        <w:numPr>
          <w:ilvl w:val="1"/>
          <w:numId w:val="7"/>
        </w:numPr>
        <w:spacing w:after="0"/>
        <w:rPr>
          <w:sz w:val="24"/>
          <w:szCs w:val="24"/>
        </w:rPr>
      </w:pPr>
      <w:r>
        <w:rPr>
          <w:sz w:val="24"/>
          <w:szCs w:val="24"/>
        </w:rPr>
        <w:t>Doesn’t think that VA SC interpreted statute to mean there couldn’t be a rebuttal.</w:t>
      </w:r>
    </w:p>
    <w:p w:rsidR="00DF5D24" w:rsidRDefault="00DF5D24" w:rsidP="00311223">
      <w:pPr>
        <w:pStyle w:val="ListParagraph"/>
        <w:numPr>
          <w:ilvl w:val="1"/>
          <w:numId w:val="7"/>
        </w:numPr>
        <w:spacing w:after="0"/>
        <w:rPr>
          <w:sz w:val="24"/>
          <w:szCs w:val="24"/>
        </w:rPr>
      </w:pPr>
      <w:r w:rsidRPr="00DF5D24">
        <w:rPr>
          <w:b/>
          <w:color w:val="FF0000"/>
          <w:sz w:val="24"/>
          <w:szCs w:val="24"/>
        </w:rPr>
        <w:t xml:space="preserve">“That is, presentation of evidence that a defendant burned a cross in public view is automatically sufficient, on its own, to support an inference that the defendant intended to intimidate </w:t>
      </w:r>
      <w:r w:rsidRPr="00DF5D24">
        <w:rPr>
          <w:b/>
          <w:i/>
          <w:color w:val="FF0000"/>
          <w:sz w:val="24"/>
          <w:szCs w:val="24"/>
        </w:rPr>
        <w:t>only until</w:t>
      </w:r>
      <w:r w:rsidRPr="00DF5D24">
        <w:rPr>
          <w:b/>
          <w:color w:val="FF0000"/>
          <w:sz w:val="24"/>
          <w:szCs w:val="24"/>
        </w:rPr>
        <w:t xml:space="preserve"> the defendant comes forward with some evidence in rebuttal.”</w:t>
      </w:r>
      <w:r>
        <w:rPr>
          <w:sz w:val="24"/>
          <w:szCs w:val="24"/>
        </w:rPr>
        <w:t xml:space="preserve"> (371, emphasis original)</w:t>
      </w:r>
    </w:p>
    <w:p w:rsidR="00DF5D24" w:rsidRDefault="00DF5D24" w:rsidP="00DF5D24">
      <w:pPr>
        <w:pStyle w:val="ListParagraph"/>
        <w:numPr>
          <w:ilvl w:val="0"/>
          <w:numId w:val="7"/>
        </w:numPr>
        <w:spacing w:after="0"/>
        <w:rPr>
          <w:sz w:val="24"/>
          <w:szCs w:val="24"/>
        </w:rPr>
      </w:pPr>
      <w:r>
        <w:rPr>
          <w:sz w:val="24"/>
          <w:szCs w:val="24"/>
        </w:rPr>
        <w:t>So actually the VA statute is NOT unconstitutional.</w:t>
      </w:r>
    </w:p>
    <w:p w:rsidR="00DF5D24" w:rsidRDefault="00DF5D24" w:rsidP="00DF5D24">
      <w:pPr>
        <w:pStyle w:val="ListParagraph"/>
        <w:numPr>
          <w:ilvl w:val="0"/>
          <w:numId w:val="7"/>
        </w:numPr>
        <w:spacing w:after="0"/>
        <w:rPr>
          <w:sz w:val="24"/>
          <w:szCs w:val="24"/>
        </w:rPr>
      </w:pPr>
      <w:r>
        <w:rPr>
          <w:sz w:val="24"/>
          <w:szCs w:val="24"/>
        </w:rPr>
        <w:t xml:space="preserve">Critical of VA-SC’s “overbroad” conclusion about the statute: it’s only overbroad if it makes unlawful a large area of protected speech, not </w:t>
      </w:r>
      <w:proofErr w:type="gramStart"/>
      <w:r>
        <w:rPr>
          <w:sz w:val="24"/>
          <w:szCs w:val="24"/>
        </w:rPr>
        <w:t>that individuals</w:t>
      </w:r>
      <w:proofErr w:type="gramEnd"/>
      <w:r>
        <w:rPr>
          <w:sz w:val="24"/>
          <w:szCs w:val="24"/>
        </w:rPr>
        <w:t xml:space="preserve"> who engage in the speech might end up arrested and prosecuted. But plurality of SCOTUS also makes the mistake of concluding “that the </w:t>
      </w:r>
      <w:r>
        <w:rPr>
          <w:i/>
          <w:sz w:val="24"/>
          <w:szCs w:val="24"/>
        </w:rPr>
        <w:t>possibility</w:t>
      </w:r>
      <w:r>
        <w:rPr>
          <w:sz w:val="24"/>
          <w:szCs w:val="24"/>
        </w:rPr>
        <w:t xml:space="preserve"> of such convictions justifies the facial invalidation of the statute.” (373)</w:t>
      </w:r>
    </w:p>
    <w:p w:rsidR="00A157D8" w:rsidRDefault="00A157D8" w:rsidP="00DF5D24">
      <w:pPr>
        <w:pStyle w:val="ListParagraph"/>
        <w:numPr>
          <w:ilvl w:val="0"/>
          <w:numId w:val="7"/>
        </w:numPr>
        <w:spacing w:after="0"/>
        <w:rPr>
          <w:sz w:val="24"/>
          <w:szCs w:val="24"/>
        </w:rPr>
      </w:pPr>
      <w:proofErr w:type="gramStart"/>
      <w:r>
        <w:rPr>
          <w:sz w:val="24"/>
          <w:szCs w:val="24"/>
        </w:rPr>
        <w:t>There’s</w:t>
      </w:r>
      <w:proofErr w:type="gramEnd"/>
      <w:r>
        <w:rPr>
          <w:sz w:val="24"/>
          <w:szCs w:val="24"/>
        </w:rPr>
        <w:t xml:space="preserve"> only a few cases in which the statute, properly interpreted, would violate a defendant’s constitutional rights: if they’d burned a cross publicly, didn’t intend to intimidate, are charged and prosecuted, and refuse to present a defense (so the prima facie evidence convicts them because not rebutted). (Not a big enough population to warrant invalidating the statute on its face.)</w:t>
      </w:r>
    </w:p>
    <w:p w:rsidR="00A157D8" w:rsidRDefault="00A157D8" w:rsidP="00DF5D24">
      <w:pPr>
        <w:pStyle w:val="ListParagraph"/>
        <w:numPr>
          <w:ilvl w:val="0"/>
          <w:numId w:val="7"/>
        </w:numPr>
        <w:spacing w:after="0"/>
        <w:rPr>
          <w:sz w:val="24"/>
          <w:szCs w:val="24"/>
        </w:rPr>
      </w:pPr>
      <w:r>
        <w:rPr>
          <w:sz w:val="24"/>
          <w:szCs w:val="24"/>
        </w:rPr>
        <w:t xml:space="preserve">“I am aware of no case—and the plurality cites none—in which we have facially invalidated an </w:t>
      </w:r>
      <w:r>
        <w:rPr>
          <w:i/>
          <w:sz w:val="24"/>
          <w:szCs w:val="24"/>
        </w:rPr>
        <w:t>ambiguous</w:t>
      </w:r>
      <w:r>
        <w:rPr>
          <w:sz w:val="24"/>
          <w:szCs w:val="24"/>
        </w:rPr>
        <w:t xml:space="preserve"> statute on the basis of a constitutionally troubling jury instruction.” (376)</w:t>
      </w:r>
    </w:p>
    <w:p w:rsidR="00A157D8" w:rsidRDefault="00A157D8" w:rsidP="00A157D8">
      <w:pPr>
        <w:pStyle w:val="ListParagraph"/>
        <w:numPr>
          <w:ilvl w:val="1"/>
          <w:numId w:val="7"/>
        </w:numPr>
        <w:spacing w:after="0"/>
        <w:rPr>
          <w:sz w:val="24"/>
          <w:szCs w:val="24"/>
        </w:rPr>
      </w:pPr>
      <w:r>
        <w:rPr>
          <w:sz w:val="24"/>
          <w:szCs w:val="24"/>
        </w:rPr>
        <w:t>Could be a bad precedent: any judge’s quirky interpretations of a statute could render that statute invalid!</w:t>
      </w:r>
    </w:p>
    <w:p w:rsidR="00A157D8" w:rsidRDefault="00A157D8" w:rsidP="00A157D8">
      <w:pPr>
        <w:pStyle w:val="ListParagraph"/>
        <w:numPr>
          <w:ilvl w:val="0"/>
          <w:numId w:val="7"/>
        </w:numPr>
        <w:spacing w:after="0"/>
        <w:rPr>
          <w:sz w:val="24"/>
          <w:szCs w:val="24"/>
        </w:rPr>
      </w:pPr>
      <w:r>
        <w:rPr>
          <w:sz w:val="24"/>
          <w:szCs w:val="24"/>
        </w:rPr>
        <w:t xml:space="preserve">Plurality jumped the gun on declaring statute unconstitutional: the VA-SC didn’t even </w:t>
      </w:r>
      <w:r w:rsidR="00253502">
        <w:rPr>
          <w:sz w:val="24"/>
          <w:szCs w:val="24"/>
        </w:rPr>
        <w:t>say that the jury couldn’t consider rebuttal evidence to the prima facie evidence provision.</w:t>
      </w:r>
    </w:p>
    <w:p w:rsidR="00253502" w:rsidRPr="00311223" w:rsidRDefault="00253502" w:rsidP="00A157D8">
      <w:pPr>
        <w:pStyle w:val="ListParagraph"/>
        <w:numPr>
          <w:ilvl w:val="0"/>
          <w:numId w:val="7"/>
        </w:numPr>
        <w:spacing w:after="0"/>
        <w:rPr>
          <w:sz w:val="24"/>
          <w:szCs w:val="24"/>
        </w:rPr>
      </w:pPr>
      <w:r>
        <w:rPr>
          <w:sz w:val="24"/>
          <w:szCs w:val="24"/>
        </w:rPr>
        <w:t>“Words cannot express my wonderment at this virtuoso performance.” (379)</w:t>
      </w:r>
    </w:p>
    <w:p w:rsidR="008558E2" w:rsidRDefault="008558E2" w:rsidP="008558E2">
      <w:pPr>
        <w:spacing w:after="0"/>
        <w:rPr>
          <w:b/>
          <w:sz w:val="24"/>
          <w:szCs w:val="24"/>
        </w:rPr>
      </w:pPr>
    </w:p>
    <w:p w:rsidR="00542F6A" w:rsidRDefault="00542F6A" w:rsidP="008558E2">
      <w:pPr>
        <w:spacing w:after="0"/>
        <w:rPr>
          <w:sz w:val="24"/>
          <w:szCs w:val="24"/>
        </w:rPr>
      </w:pPr>
      <w:r>
        <w:rPr>
          <w:b/>
          <w:sz w:val="24"/>
          <w:szCs w:val="24"/>
        </w:rPr>
        <w:t>Concurrence-Dissent:</w:t>
      </w:r>
      <w:r>
        <w:rPr>
          <w:sz w:val="24"/>
          <w:szCs w:val="24"/>
        </w:rPr>
        <w:t xml:space="preserve"> Souter (with Kennedy and Ginsburg)</w:t>
      </w:r>
    </w:p>
    <w:p w:rsidR="00542F6A" w:rsidRDefault="00542F6A" w:rsidP="00542F6A">
      <w:pPr>
        <w:pStyle w:val="ListParagraph"/>
        <w:numPr>
          <w:ilvl w:val="0"/>
          <w:numId w:val="7"/>
        </w:numPr>
        <w:spacing w:after="0"/>
        <w:rPr>
          <w:sz w:val="24"/>
          <w:szCs w:val="24"/>
        </w:rPr>
      </w:pPr>
      <w:r>
        <w:rPr>
          <w:sz w:val="24"/>
          <w:szCs w:val="24"/>
        </w:rPr>
        <w:t xml:space="preserve">VA’s statute is unconstitutional no matter how you slice it because it “selects a symbol with particular content from the field of all </w:t>
      </w:r>
      <w:proofErr w:type="spellStart"/>
      <w:r>
        <w:rPr>
          <w:sz w:val="24"/>
          <w:szCs w:val="24"/>
        </w:rPr>
        <w:t>proscribable</w:t>
      </w:r>
      <w:proofErr w:type="spellEnd"/>
      <w:r>
        <w:rPr>
          <w:sz w:val="24"/>
          <w:szCs w:val="24"/>
        </w:rPr>
        <w:t xml:space="preserve"> expression meant to intimidate.” (381)</w:t>
      </w:r>
    </w:p>
    <w:p w:rsidR="00D2200E" w:rsidRDefault="00D2200E" w:rsidP="00542F6A">
      <w:pPr>
        <w:pStyle w:val="ListParagraph"/>
        <w:numPr>
          <w:ilvl w:val="0"/>
          <w:numId w:val="7"/>
        </w:numPr>
        <w:spacing w:after="0"/>
        <w:rPr>
          <w:sz w:val="24"/>
          <w:szCs w:val="24"/>
        </w:rPr>
      </w:pPr>
      <w:r>
        <w:rPr>
          <w:sz w:val="24"/>
          <w:szCs w:val="24"/>
        </w:rPr>
        <w:t>“The cross may have been selected because of its special power to threaten, but it may also have been singled out because of disapproval of its message of white supremacy, either because a legislature thought white supremacy was a pernicious doctrine or because it found that dramatic, public espousal of it was a civic embarrassment.” (383)</w:t>
      </w:r>
    </w:p>
    <w:p w:rsidR="00D2200E" w:rsidRDefault="00D2200E" w:rsidP="00542F6A">
      <w:pPr>
        <w:pStyle w:val="ListParagraph"/>
        <w:numPr>
          <w:ilvl w:val="0"/>
          <w:numId w:val="7"/>
        </w:numPr>
        <w:spacing w:after="0"/>
        <w:rPr>
          <w:sz w:val="24"/>
          <w:szCs w:val="24"/>
        </w:rPr>
      </w:pPr>
      <w:r>
        <w:rPr>
          <w:sz w:val="24"/>
          <w:szCs w:val="24"/>
        </w:rPr>
        <w:t xml:space="preserve">“A content-based proscription of cross burning, on the other hand, may be a subtle effort to ban not only the intensity of the intimidation cross burning causes when done to threaten, but also the </w:t>
      </w:r>
      <w:r>
        <w:rPr>
          <w:sz w:val="24"/>
          <w:szCs w:val="24"/>
        </w:rPr>
        <w:lastRenderedPageBreak/>
        <w:t>particular message of white supremacy that is broadcast even by nonthreatening cross burning.” (384) [begs the question]</w:t>
      </w:r>
    </w:p>
    <w:p w:rsidR="00542F6A" w:rsidRDefault="00542F6A" w:rsidP="00542F6A">
      <w:pPr>
        <w:pStyle w:val="ListParagraph"/>
        <w:numPr>
          <w:ilvl w:val="0"/>
          <w:numId w:val="7"/>
        </w:numPr>
        <w:spacing w:after="0"/>
        <w:rPr>
          <w:sz w:val="24"/>
          <w:szCs w:val="24"/>
        </w:rPr>
      </w:pPr>
      <w:r>
        <w:rPr>
          <w:i/>
          <w:sz w:val="24"/>
          <w:szCs w:val="24"/>
        </w:rPr>
        <w:t>R. A. V.</w:t>
      </w:r>
      <w:r>
        <w:rPr>
          <w:sz w:val="24"/>
          <w:szCs w:val="24"/>
        </w:rPr>
        <w:t xml:space="preserve"> allowed for an exception for “particularly virulent” expressions, but this one isn’t it.</w:t>
      </w:r>
    </w:p>
    <w:p w:rsidR="00D2200E" w:rsidRDefault="00D2200E" w:rsidP="00542F6A">
      <w:pPr>
        <w:pStyle w:val="ListParagraph"/>
        <w:numPr>
          <w:ilvl w:val="0"/>
          <w:numId w:val="7"/>
        </w:numPr>
        <w:spacing w:after="0"/>
        <w:rPr>
          <w:sz w:val="24"/>
          <w:szCs w:val="24"/>
        </w:rPr>
      </w:pPr>
      <w:r>
        <w:rPr>
          <w:sz w:val="24"/>
          <w:szCs w:val="24"/>
        </w:rPr>
        <w:t>“As I see the likely significance of the evidence provision [in the VA statute], its primary effect is to skew jury deliberations toward conviction in cases where the evidence of intent to intimidate is relatively weak and arguably consistent with a solely ideological reason for burning.” (385)</w:t>
      </w:r>
    </w:p>
    <w:p w:rsidR="00D2200E" w:rsidRDefault="00D2200E" w:rsidP="00542F6A">
      <w:pPr>
        <w:pStyle w:val="ListParagraph"/>
        <w:numPr>
          <w:ilvl w:val="0"/>
          <w:numId w:val="7"/>
        </w:numPr>
        <w:spacing w:after="0"/>
        <w:rPr>
          <w:sz w:val="24"/>
          <w:szCs w:val="24"/>
        </w:rPr>
      </w:pPr>
      <w:r>
        <w:rPr>
          <w:sz w:val="24"/>
          <w:szCs w:val="24"/>
        </w:rPr>
        <w:t>“One can tell the intimidating instance from the wholly ideological one only by reference to some further circumstance.” (385)</w:t>
      </w:r>
    </w:p>
    <w:p w:rsidR="00F653C0" w:rsidRDefault="00F653C0" w:rsidP="00542F6A">
      <w:pPr>
        <w:pStyle w:val="ListParagraph"/>
        <w:numPr>
          <w:ilvl w:val="0"/>
          <w:numId w:val="7"/>
        </w:numPr>
        <w:spacing w:after="0"/>
        <w:rPr>
          <w:sz w:val="24"/>
          <w:szCs w:val="24"/>
        </w:rPr>
      </w:pPr>
      <w:r>
        <w:rPr>
          <w:sz w:val="24"/>
          <w:szCs w:val="24"/>
        </w:rPr>
        <w:t>“To the extent the prima facie evidence provision skews prosecutions, then, it skews the statute toward suppressing ideas.” (386)</w:t>
      </w:r>
    </w:p>
    <w:p w:rsidR="00F653C0" w:rsidRDefault="00F653C0" w:rsidP="00F653C0">
      <w:pPr>
        <w:spacing w:after="0"/>
        <w:rPr>
          <w:b/>
          <w:sz w:val="24"/>
          <w:szCs w:val="24"/>
        </w:rPr>
      </w:pPr>
    </w:p>
    <w:p w:rsidR="00F653C0" w:rsidRDefault="00F653C0" w:rsidP="00F653C0">
      <w:pPr>
        <w:spacing w:after="0"/>
        <w:rPr>
          <w:sz w:val="24"/>
          <w:szCs w:val="24"/>
        </w:rPr>
      </w:pPr>
      <w:r>
        <w:rPr>
          <w:b/>
          <w:sz w:val="24"/>
          <w:szCs w:val="24"/>
        </w:rPr>
        <w:t>Dissent: Thomas</w:t>
      </w:r>
    </w:p>
    <w:p w:rsidR="00F653C0" w:rsidRDefault="00F653C0" w:rsidP="00F653C0">
      <w:pPr>
        <w:pStyle w:val="ListParagraph"/>
        <w:numPr>
          <w:ilvl w:val="0"/>
          <w:numId w:val="7"/>
        </w:numPr>
        <w:spacing w:after="0"/>
        <w:rPr>
          <w:sz w:val="24"/>
          <w:szCs w:val="24"/>
        </w:rPr>
      </w:pPr>
      <w:r>
        <w:rPr>
          <w:sz w:val="24"/>
          <w:szCs w:val="24"/>
        </w:rPr>
        <w:t>Believes that “the majority errs in imputing an expressive component to the activity in question.” (388)</w:t>
      </w:r>
    </w:p>
    <w:p w:rsidR="00F653C0" w:rsidRDefault="00F653C0" w:rsidP="00F653C0">
      <w:pPr>
        <w:pStyle w:val="ListParagraph"/>
        <w:numPr>
          <w:ilvl w:val="0"/>
          <w:numId w:val="7"/>
        </w:numPr>
        <w:spacing w:after="0"/>
        <w:rPr>
          <w:sz w:val="24"/>
          <w:szCs w:val="24"/>
        </w:rPr>
      </w:pPr>
      <w:r>
        <w:rPr>
          <w:sz w:val="24"/>
          <w:szCs w:val="24"/>
        </w:rPr>
        <w:t xml:space="preserve">Statute bans </w:t>
      </w:r>
      <w:r w:rsidR="000834ED">
        <w:rPr>
          <w:sz w:val="24"/>
          <w:szCs w:val="24"/>
        </w:rPr>
        <w:t>conduct</w:t>
      </w:r>
      <w:r>
        <w:rPr>
          <w:sz w:val="24"/>
          <w:szCs w:val="24"/>
        </w:rPr>
        <w:t>, not expression.</w:t>
      </w:r>
      <w:r w:rsidR="000834ED">
        <w:rPr>
          <w:sz w:val="24"/>
          <w:szCs w:val="24"/>
        </w:rPr>
        <w:t xml:space="preserve"> (394)</w:t>
      </w:r>
    </w:p>
    <w:p w:rsidR="00F653C0" w:rsidRDefault="00F653C0" w:rsidP="00F653C0">
      <w:pPr>
        <w:pStyle w:val="ListParagraph"/>
        <w:numPr>
          <w:ilvl w:val="0"/>
          <w:numId w:val="7"/>
        </w:numPr>
        <w:spacing w:after="0"/>
        <w:rPr>
          <w:sz w:val="24"/>
          <w:szCs w:val="24"/>
        </w:rPr>
      </w:pPr>
      <w:r>
        <w:rPr>
          <w:sz w:val="24"/>
          <w:szCs w:val="24"/>
        </w:rPr>
        <w:t>KKK is popularly understood as a terrorist organization</w:t>
      </w:r>
      <w:r w:rsidR="000834ED">
        <w:rPr>
          <w:sz w:val="24"/>
          <w:szCs w:val="24"/>
        </w:rPr>
        <w:t>; even segregationist VA adopted an anti-cross-burning statute because of the violence that usually accompanied it.</w:t>
      </w:r>
    </w:p>
    <w:p w:rsidR="000834ED" w:rsidRDefault="000834ED" w:rsidP="00F653C0">
      <w:pPr>
        <w:pStyle w:val="ListParagraph"/>
        <w:numPr>
          <w:ilvl w:val="0"/>
          <w:numId w:val="7"/>
        </w:numPr>
        <w:spacing w:after="0"/>
        <w:rPr>
          <w:sz w:val="24"/>
          <w:szCs w:val="24"/>
        </w:rPr>
      </w:pPr>
      <w:r>
        <w:rPr>
          <w:sz w:val="24"/>
          <w:szCs w:val="24"/>
        </w:rPr>
        <w:t>No problem with prima facie evidence element; it’s just an inference, not a strict presumption that can’t be changed by rebuttal evidence.</w:t>
      </w:r>
    </w:p>
    <w:p w:rsidR="000834ED" w:rsidRDefault="000834ED" w:rsidP="00F653C0">
      <w:pPr>
        <w:pStyle w:val="ListParagraph"/>
        <w:numPr>
          <w:ilvl w:val="0"/>
          <w:numId w:val="7"/>
        </w:numPr>
        <w:spacing w:after="0"/>
        <w:rPr>
          <w:sz w:val="24"/>
          <w:szCs w:val="24"/>
        </w:rPr>
      </w:pPr>
      <w:r>
        <w:rPr>
          <w:sz w:val="24"/>
          <w:szCs w:val="24"/>
        </w:rPr>
        <w:t xml:space="preserve">“As explained [above], </w:t>
      </w:r>
      <w:r>
        <w:rPr>
          <w:i/>
          <w:sz w:val="24"/>
          <w:szCs w:val="24"/>
        </w:rPr>
        <w:t>not</w:t>
      </w:r>
      <w:r>
        <w:rPr>
          <w:sz w:val="24"/>
          <w:szCs w:val="24"/>
        </w:rPr>
        <w:t xml:space="preserve"> making a connection between </w:t>
      </w:r>
      <w:proofErr w:type="gramStart"/>
      <w:r>
        <w:rPr>
          <w:sz w:val="24"/>
          <w:szCs w:val="24"/>
        </w:rPr>
        <w:t>cross</w:t>
      </w:r>
      <w:proofErr w:type="gramEnd"/>
      <w:r>
        <w:rPr>
          <w:sz w:val="24"/>
          <w:szCs w:val="24"/>
        </w:rPr>
        <w:t xml:space="preserve"> burning and intimidation would be irrational.” (397)</w:t>
      </w:r>
    </w:p>
    <w:p w:rsidR="00BA1706" w:rsidRPr="00F653C0" w:rsidRDefault="00BA1706" w:rsidP="00F653C0">
      <w:pPr>
        <w:pStyle w:val="ListParagraph"/>
        <w:numPr>
          <w:ilvl w:val="0"/>
          <w:numId w:val="7"/>
        </w:numPr>
        <w:spacing w:after="0"/>
        <w:rPr>
          <w:sz w:val="24"/>
          <w:szCs w:val="24"/>
        </w:rPr>
      </w:pPr>
      <w:r>
        <w:rPr>
          <w:sz w:val="24"/>
          <w:szCs w:val="24"/>
        </w:rPr>
        <w:t>Some conduct essentially satisfies the “intent” element presumptively. (Possession of drugs with intent to deliver)</w:t>
      </w:r>
    </w:p>
    <w:p w:rsidR="00542F6A" w:rsidRDefault="00542F6A" w:rsidP="008558E2">
      <w:pPr>
        <w:spacing w:after="0"/>
        <w:rPr>
          <w:b/>
          <w:sz w:val="24"/>
          <w:szCs w:val="24"/>
        </w:rPr>
      </w:pPr>
    </w:p>
    <w:p w:rsidR="008558E2" w:rsidRDefault="008558E2" w:rsidP="008558E2">
      <w:pPr>
        <w:spacing w:after="0"/>
        <w:rPr>
          <w:b/>
          <w:sz w:val="24"/>
          <w:szCs w:val="24"/>
        </w:rPr>
      </w:pPr>
      <w:r>
        <w:rPr>
          <w:b/>
          <w:sz w:val="24"/>
          <w:szCs w:val="24"/>
        </w:rPr>
        <w:t>Commentary:</w:t>
      </w:r>
    </w:p>
    <w:p w:rsidR="00477F53" w:rsidRPr="00477F53" w:rsidRDefault="00477F53" w:rsidP="00477F53">
      <w:pPr>
        <w:pStyle w:val="ListParagraph"/>
        <w:numPr>
          <w:ilvl w:val="0"/>
          <w:numId w:val="7"/>
        </w:numPr>
        <w:spacing w:after="0"/>
        <w:rPr>
          <w:b/>
          <w:sz w:val="24"/>
          <w:szCs w:val="24"/>
        </w:rPr>
      </w:pPr>
      <w:r>
        <w:rPr>
          <w:sz w:val="24"/>
          <w:szCs w:val="24"/>
        </w:rPr>
        <w:t>Note the use of context to determine SUBJECTIVE intent:</w:t>
      </w:r>
    </w:p>
    <w:p w:rsidR="00477F53" w:rsidRDefault="00477F53" w:rsidP="00477F53">
      <w:pPr>
        <w:pStyle w:val="ListParagraph"/>
        <w:spacing w:after="0"/>
        <w:rPr>
          <w:b/>
          <w:sz w:val="24"/>
          <w:szCs w:val="24"/>
        </w:rPr>
      </w:pPr>
      <w:r>
        <w:rPr>
          <w:b/>
          <w:sz w:val="24"/>
          <w:szCs w:val="24"/>
        </w:rPr>
        <w:t xml:space="preserve">“The prima facie evidence provision in this case ignores all of the </w:t>
      </w:r>
      <w:r w:rsidRPr="00477F53">
        <w:rPr>
          <w:b/>
          <w:color w:val="FF0000"/>
          <w:sz w:val="24"/>
          <w:szCs w:val="24"/>
        </w:rPr>
        <w:t>contextual factors</w:t>
      </w:r>
      <w:r>
        <w:rPr>
          <w:b/>
          <w:sz w:val="24"/>
          <w:szCs w:val="24"/>
        </w:rPr>
        <w:t xml:space="preserve"> that are </w:t>
      </w:r>
      <w:r w:rsidRPr="00477F53">
        <w:rPr>
          <w:b/>
          <w:color w:val="FF0000"/>
          <w:sz w:val="24"/>
          <w:szCs w:val="24"/>
        </w:rPr>
        <w:t>necessary to decide</w:t>
      </w:r>
      <w:r>
        <w:rPr>
          <w:b/>
          <w:sz w:val="24"/>
          <w:szCs w:val="24"/>
        </w:rPr>
        <w:t xml:space="preserve"> whether a particular cross burning is </w:t>
      </w:r>
      <w:r w:rsidRPr="00477F53">
        <w:rPr>
          <w:b/>
          <w:color w:val="FF0000"/>
          <w:sz w:val="24"/>
          <w:szCs w:val="24"/>
        </w:rPr>
        <w:t>intended to intimidate</w:t>
      </w:r>
      <w:r>
        <w:rPr>
          <w:b/>
          <w:sz w:val="24"/>
          <w:szCs w:val="24"/>
        </w:rPr>
        <w:t>.” (367)</w:t>
      </w:r>
    </w:p>
    <w:p w:rsidR="00253502" w:rsidRPr="00253502" w:rsidRDefault="00253502" w:rsidP="00253502">
      <w:pPr>
        <w:pStyle w:val="ListParagraph"/>
        <w:spacing w:after="0"/>
        <w:rPr>
          <w:b/>
          <w:sz w:val="24"/>
          <w:szCs w:val="24"/>
        </w:rPr>
      </w:pPr>
    </w:p>
    <w:p w:rsidR="00F11CF9" w:rsidRPr="00E003C7" w:rsidRDefault="00F11CF9" w:rsidP="00F11CF9">
      <w:pPr>
        <w:pStyle w:val="ListParagraph"/>
        <w:numPr>
          <w:ilvl w:val="0"/>
          <w:numId w:val="7"/>
        </w:numPr>
        <w:spacing w:after="0"/>
        <w:rPr>
          <w:b/>
          <w:sz w:val="24"/>
          <w:szCs w:val="24"/>
        </w:rPr>
      </w:pPr>
      <w:r>
        <w:rPr>
          <w:sz w:val="24"/>
          <w:szCs w:val="24"/>
        </w:rPr>
        <w:t xml:space="preserve">Also: really what was wrong was the interpretation of the prima facie provision </w:t>
      </w:r>
      <w:r>
        <w:rPr>
          <w:i/>
          <w:sz w:val="24"/>
          <w:szCs w:val="24"/>
        </w:rPr>
        <w:t>given to the jury</w:t>
      </w:r>
      <w:r>
        <w:rPr>
          <w:sz w:val="24"/>
          <w:szCs w:val="24"/>
        </w:rPr>
        <w:t xml:space="preserve"> in Black’s case. On remand, maybe it could be interpreted differently; so maybe it doesn’t need to be </w:t>
      </w:r>
      <w:r w:rsidR="00311223">
        <w:rPr>
          <w:sz w:val="24"/>
          <w:szCs w:val="24"/>
        </w:rPr>
        <w:t>stricken</w:t>
      </w:r>
      <w:r>
        <w:rPr>
          <w:sz w:val="24"/>
          <w:szCs w:val="24"/>
        </w:rPr>
        <w:t xml:space="preserve"> from the rulebooks or rewritten.</w:t>
      </w:r>
      <w:r w:rsidR="00253502">
        <w:rPr>
          <w:sz w:val="24"/>
          <w:szCs w:val="24"/>
        </w:rPr>
        <w:t xml:space="preserve"> </w:t>
      </w:r>
      <w:r w:rsidR="00253502" w:rsidRPr="00253502">
        <w:rPr>
          <w:i/>
          <w:color w:val="31849B" w:themeColor="accent5" w:themeShade="BF"/>
          <w:sz w:val="24"/>
          <w:szCs w:val="24"/>
        </w:rPr>
        <w:t xml:space="preserve">(Scalia: “Now this is truly baffling. Having declared, in the immediately preceding sentence, that [the VA statute] is </w:t>
      </w:r>
      <w:r w:rsidR="00253502">
        <w:rPr>
          <w:i/>
          <w:color w:val="31849B" w:themeColor="accent5" w:themeShade="BF"/>
          <w:sz w:val="24"/>
          <w:szCs w:val="24"/>
        </w:rPr>
        <w:t>‘</w:t>
      </w:r>
      <w:r w:rsidR="00253502" w:rsidRPr="00253502">
        <w:rPr>
          <w:i/>
          <w:color w:val="31849B" w:themeColor="accent5" w:themeShade="BF"/>
          <w:sz w:val="24"/>
          <w:szCs w:val="24"/>
        </w:rPr>
        <w:t>unconstitutional on its face,</w:t>
      </w:r>
      <w:r w:rsidR="00253502">
        <w:rPr>
          <w:i/>
          <w:color w:val="31849B" w:themeColor="accent5" w:themeShade="BF"/>
          <w:sz w:val="24"/>
          <w:szCs w:val="24"/>
        </w:rPr>
        <w:t>’</w:t>
      </w:r>
      <w:r w:rsidR="00253502" w:rsidRPr="00253502">
        <w:rPr>
          <w:i/>
          <w:color w:val="31849B" w:themeColor="accent5" w:themeShade="BF"/>
          <w:sz w:val="24"/>
          <w:szCs w:val="24"/>
        </w:rPr>
        <w:t xml:space="preserve"> ibid. (emphasis added), the plurality holds out the possibility that the VA-SC will offer some saving construction of the statute. It should go without saying that if a saving construction [of the statute] is possible, then facial invalidation is inappropriate.” 379)</w:t>
      </w:r>
    </w:p>
    <w:p w:rsidR="00BA1706" w:rsidRDefault="00BA1706">
      <w:pPr>
        <w:rPr>
          <w:sz w:val="24"/>
          <w:szCs w:val="24"/>
        </w:rPr>
      </w:pPr>
      <w:r>
        <w:rPr>
          <w:sz w:val="24"/>
          <w:szCs w:val="24"/>
        </w:rPr>
        <w:br w:type="page"/>
      </w:r>
    </w:p>
    <w:p w:rsidR="00477F53" w:rsidRPr="00477F53" w:rsidRDefault="00477F53" w:rsidP="00477F53">
      <w:pPr>
        <w:pStyle w:val="ListParagraph"/>
        <w:spacing w:after="0"/>
        <w:rPr>
          <w:sz w:val="24"/>
          <w:szCs w:val="24"/>
        </w:rPr>
      </w:pPr>
    </w:p>
    <w:p w:rsidR="008558E2" w:rsidRDefault="008558E2" w:rsidP="008558E2">
      <w:pPr>
        <w:spacing w:after="0"/>
        <w:rPr>
          <w:b/>
          <w:sz w:val="24"/>
          <w:szCs w:val="24"/>
        </w:rPr>
      </w:pPr>
    </w:p>
    <w:p w:rsidR="008558E2" w:rsidRDefault="008558E2" w:rsidP="008558E2">
      <w:pPr>
        <w:spacing w:after="0"/>
        <w:rPr>
          <w:b/>
          <w:sz w:val="24"/>
          <w:szCs w:val="24"/>
        </w:rPr>
      </w:pPr>
      <w:r>
        <w:rPr>
          <w:b/>
          <w:sz w:val="24"/>
          <w:szCs w:val="24"/>
        </w:rPr>
        <w:t>Legal Writing Notes:</w:t>
      </w:r>
    </w:p>
    <w:p w:rsidR="001B5DD6" w:rsidRDefault="001B5DD6" w:rsidP="001B5DD6">
      <w:pPr>
        <w:pStyle w:val="ListParagraph"/>
        <w:numPr>
          <w:ilvl w:val="0"/>
          <w:numId w:val="7"/>
        </w:numPr>
        <w:spacing w:after="0"/>
        <w:rPr>
          <w:sz w:val="24"/>
          <w:szCs w:val="24"/>
        </w:rPr>
      </w:pPr>
      <w:proofErr w:type="spellStart"/>
      <w:r>
        <w:rPr>
          <w:sz w:val="24"/>
          <w:szCs w:val="24"/>
        </w:rPr>
        <w:t>O’Connorism</w:t>
      </w:r>
      <w:proofErr w:type="spellEnd"/>
      <w:r>
        <w:rPr>
          <w:sz w:val="24"/>
          <w:szCs w:val="24"/>
        </w:rPr>
        <w:t>, citing book:</w:t>
      </w:r>
    </w:p>
    <w:p w:rsidR="001B5DD6" w:rsidRDefault="001B5DD6" w:rsidP="001B5DD6">
      <w:pPr>
        <w:pStyle w:val="ListParagraph"/>
        <w:spacing w:after="0"/>
        <w:rPr>
          <w:b/>
          <w:sz w:val="24"/>
          <w:szCs w:val="24"/>
        </w:rPr>
      </w:pPr>
      <w:r>
        <w:rPr>
          <w:b/>
          <w:sz w:val="24"/>
          <w:szCs w:val="24"/>
        </w:rPr>
        <w:t>W. Wade, The Fiery Cross: The Ku Klux Klan in America 48-49 (1987) (hereinafter Wade).</w:t>
      </w:r>
    </w:p>
    <w:p w:rsidR="00477F53" w:rsidRPr="00477F53" w:rsidRDefault="00477F53" w:rsidP="00477F53">
      <w:pPr>
        <w:pStyle w:val="ListParagraph"/>
        <w:numPr>
          <w:ilvl w:val="0"/>
          <w:numId w:val="7"/>
        </w:numPr>
        <w:spacing w:after="0"/>
        <w:rPr>
          <w:b/>
          <w:sz w:val="24"/>
          <w:szCs w:val="24"/>
        </w:rPr>
      </w:pPr>
      <w:r>
        <w:rPr>
          <w:sz w:val="24"/>
          <w:szCs w:val="24"/>
        </w:rPr>
        <w:t>Citing an unusual concurrence:</w:t>
      </w:r>
    </w:p>
    <w:p w:rsidR="00A157D8" w:rsidRDefault="00477F53" w:rsidP="00A157D8">
      <w:pPr>
        <w:pStyle w:val="ListParagraph"/>
        <w:spacing w:after="0"/>
        <w:rPr>
          <w:b/>
          <w:sz w:val="24"/>
          <w:szCs w:val="24"/>
        </w:rPr>
      </w:pPr>
      <w:proofErr w:type="gramStart"/>
      <w:r>
        <w:rPr>
          <w:b/>
          <w:i/>
          <w:sz w:val="24"/>
          <w:szCs w:val="24"/>
        </w:rPr>
        <w:t>Post</w:t>
      </w:r>
      <w:r>
        <w:rPr>
          <w:b/>
          <w:sz w:val="24"/>
          <w:szCs w:val="24"/>
        </w:rPr>
        <w:t>, at 385 (opinion concurring in judgment in part and dissenting in part).</w:t>
      </w:r>
      <w:proofErr w:type="gramEnd"/>
    </w:p>
    <w:p w:rsidR="00A157D8" w:rsidRPr="00A157D8" w:rsidRDefault="00A157D8" w:rsidP="00A157D8">
      <w:pPr>
        <w:pStyle w:val="ListParagraph"/>
        <w:numPr>
          <w:ilvl w:val="0"/>
          <w:numId w:val="7"/>
        </w:numPr>
        <w:spacing w:after="0"/>
        <w:rPr>
          <w:b/>
          <w:sz w:val="24"/>
          <w:szCs w:val="24"/>
        </w:rPr>
      </w:pPr>
      <w:r>
        <w:rPr>
          <w:sz w:val="24"/>
          <w:szCs w:val="24"/>
        </w:rPr>
        <w:t xml:space="preserve">Scalia on interpretation: </w:t>
      </w:r>
      <w:proofErr w:type="spellStart"/>
      <w:r w:rsidRPr="00A157D8">
        <w:rPr>
          <w:b/>
          <w:i/>
          <w:color w:val="FF0000"/>
          <w:sz w:val="24"/>
          <w:szCs w:val="24"/>
        </w:rPr>
        <w:t>ut</w:t>
      </w:r>
      <w:proofErr w:type="spellEnd"/>
      <w:r w:rsidRPr="00A157D8">
        <w:rPr>
          <w:b/>
          <w:i/>
          <w:color w:val="FF0000"/>
          <w:sz w:val="24"/>
          <w:szCs w:val="24"/>
        </w:rPr>
        <w:t xml:space="preserve"> res </w:t>
      </w:r>
      <w:proofErr w:type="spellStart"/>
      <w:r w:rsidRPr="00A157D8">
        <w:rPr>
          <w:b/>
          <w:i/>
          <w:color w:val="FF0000"/>
          <w:sz w:val="24"/>
          <w:szCs w:val="24"/>
        </w:rPr>
        <w:t>magis</w:t>
      </w:r>
      <w:proofErr w:type="spellEnd"/>
      <w:r w:rsidRPr="00A157D8">
        <w:rPr>
          <w:b/>
          <w:i/>
          <w:color w:val="FF0000"/>
          <w:sz w:val="24"/>
          <w:szCs w:val="24"/>
        </w:rPr>
        <w:t xml:space="preserve"> </w:t>
      </w:r>
      <w:proofErr w:type="spellStart"/>
      <w:r w:rsidRPr="00A157D8">
        <w:rPr>
          <w:b/>
          <w:i/>
          <w:color w:val="FF0000"/>
          <w:sz w:val="24"/>
          <w:szCs w:val="24"/>
        </w:rPr>
        <w:t>valeat</w:t>
      </w:r>
      <w:proofErr w:type="spellEnd"/>
      <w:r w:rsidRPr="00A157D8">
        <w:rPr>
          <w:b/>
          <w:i/>
          <w:color w:val="FF0000"/>
          <w:sz w:val="24"/>
          <w:szCs w:val="24"/>
        </w:rPr>
        <w:t xml:space="preserve"> quam </w:t>
      </w:r>
      <w:proofErr w:type="spellStart"/>
      <w:r w:rsidRPr="00A157D8">
        <w:rPr>
          <w:b/>
          <w:i/>
          <w:color w:val="FF0000"/>
          <w:sz w:val="24"/>
          <w:szCs w:val="24"/>
        </w:rPr>
        <w:t>pereat</w:t>
      </w:r>
      <w:proofErr w:type="spellEnd"/>
      <w:r>
        <w:rPr>
          <w:sz w:val="24"/>
          <w:szCs w:val="24"/>
        </w:rPr>
        <w:t>: “it is better for a thing to have effect than to be made void.” (If you can come up with a construction that works, that’s better than striking down the law because your interpretation was unconstitutional on its face.)</w:t>
      </w:r>
    </w:p>
    <w:p w:rsidR="00C87419" w:rsidRDefault="00C87419" w:rsidP="00C87419">
      <w:pPr>
        <w:spacing w:after="0"/>
        <w:rPr>
          <w:b/>
          <w:sz w:val="24"/>
          <w:szCs w:val="24"/>
        </w:rPr>
      </w:pPr>
    </w:p>
    <w:sectPr w:rsidR="00C8741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565C" w:rsidRDefault="003F565C" w:rsidP="00E16E68">
      <w:pPr>
        <w:spacing w:after="0" w:line="240" w:lineRule="auto"/>
      </w:pPr>
      <w:r>
        <w:separator/>
      </w:r>
    </w:p>
  </w:endnote>
  <w:endnote w:type="continuationSeparator" w:id="0">
    <w:p w:rsidR="003F565C" w:rsidRDefault="003F565C"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565C" w:rsidRDefault="003F565C" w:rsidP="00E16E68">
      <w:pPr>
        <w:spacing w:after="0" w:line="240" w:lineRule="auto"/>
      </w:pPr>
      <w:r>
        <w:separator/>
      </w:r>
    </w:p>
  </w:footnote>
  <w:footnote w:type="continuationSeparator" w:id="0">
    <w:p w:rsidR="003F565C" w:rsidRDefault="003F565C"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667C9D">
      <w:t>2003</w:t>
    </w:r>
    <w:r w:rsidR="00E16E68">
      <w:tab/>
    </w:r>
    <w:r w:rsidR="00667C9D">
      <w:t>Virginia v. Black</w:t>
    </w:r>
  </w:p>
  <w:p w:rsidR="00552EC4" w:rsidRDefault="00552EC4" w:rsidP="00552EC4">
    <w:pPr>
      <w:pStyle w:val="Header"/>
      <w:jc w:val="right"/>
    </w:pPr>
    <w:r>
      <w:tab/>
    </w:r>
    <w:r>
      <w:tab/>
    </w:r>
    <w:r w:rsidR="00667C9D">
      <w:t>TRUE THREATS:  CROSS BURNING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867F5"/>
    <w:multiLevelType w:val="hybridMultilevel"/>
    <w:tmpl w:val="112E7904"/>
    <w:lvl w:ilvl="0" w:tplc="B3160AC8">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52235B"/>
    <w:multiLevelType w:val="hybridMultilevel"/>
    <w:tmpl w:val="CF769AB8"/>
    <w:lvl w:ilvl="0" w:tplc="6716516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D20DB7"/>
    <w:multiLevelType w:val="hybridMultilevel"/>
    <w:tmpl w:val="6188385A"/>
    <w:lvl w:ilvl="0" w:tplc="CA88803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C43981"/>
    <w:multiLevelType w:val="hybridMultilevel"/>
    <w:tmpl w:val="D5A019F6"/>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98048A"/>
    <w:multiLevelType w:val="hybridMultilevel"/>
    <w:tmpl w:val="45A67034"/>
    <w:lvl w:ilvl="0" w:tplc="8364034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45418D3"/>
    <w:multiLevelType w:val="hybridMultilevel"/>
    <w:tmpl w:val="0A8CEAF0"/>
    <w:lvl w:ilvl="0" w:tplc="1BC46ED2">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0834ED"/>
    <w:rsid w:val="000A3110"/>
    <w:rsid w:val="00107F97"/>
    <w:rsid w:val="00144D3B"/>
    <w:rsid w:val="0016476D"/>
    <w:rsid w:val="001A00BE"/>
    <w:rsid w:val="001B0867"/>
    <w:rsid w:val="001B5DD6"/>
    <w:rsid w:val="001D065C"/>
    <w:rsid w:val="001D38B2"/>
    <w:rsid w:val="00253502"/>
    <w:rsid w:val="003072AC"/>
    <w:rsid w:val="00311223"/>
    <w:rsid w:val="00330BB8"/>
    <w:rsid w:val="003F565C"/>
    <w:rsid w:val="00412085"/>
    <w:rsid w:val="00457D27"/>
    <w:rsid w:val="0047660B"/>
    <w:rsid w:val="00477F53"/>
    <w:rsid w:val="00542F6A"/>
    <w:rsid w:val="00552EC4"/>
    <w:rsid w:val="005878D6"/>
    <w:rsid w:val="00617BC1"/>
    <w:rsid w:val="00621DCB"/>
    <w:rsid w:val="006309A8"/>
    <w:rsid w:val="00667C9D"/>
    <w:rsid w:val="006C7E74"/>
    <w:rsid w:val="00757CDB"/>
    <w:rsid w:val="00765A9A"/>
    <w:rsid w:val="007A2FA8"/>
    <w:rsid w:val="007A3638"/>
    <w:rsid w:val="007D1AC2"/>
    <w:rsid w:val="007D2BFF"/>
    <w:rsid w:val="007D3F07"/>
    <w:rsid w:val="008359AB"/>
    <w:rsid w:val="008558E2"/>
    <w:rsid w:val="008A41F9"/>
    <w:rsid w:val="008E590A"/>
    <w:rsid w:val="008E5B66"/>
    <w:rsid w:val="008F58FB"/>
    <w:rsid w:val="0091571C"/>
    <w:rsid w:val="009917BC"/>
    <w:rsid w:val="00A13E0B"/>
    <w:rsid w:val="00A157D8"/>
    <w:rsid w:val="00A35FD3"/>
    <w:rsid w:val="00A36433"/>
    <w:rsid w:val="00A41AD0"/>
    <w:rsid w:val="00A65C5C"/>
    <w:rsid w:val="00A71E2C"/>
    <w:rsid w:val="00AD15A3"/>
    <w:rsid w:val="00AD5F3E"/>
    <w:rsid w:val="00B330E3"/>
    <w:rsid w:val="00B54810"/>
    <w:rsid w:val="00B564E2"/>
    <w:rsid w:val="00B605C1"/>
    <w:rsid w:val="00B667F9"/>
    <w:rsid w:val="00B778D1"/>
    <w:rsid w:val="00B8320A"/>
    <w:rsid w:val="00BA1706"/>
    <w:rsid w:val="00BD414C"/>
    <w:rsid w:val="00C04809"/>
    <w:rsid w:val="00C05F23"/>
    <w:rsid w:val="00C27EA9"/>
    <w:rsid w:val="00C44442"/>
    <w:rsid w:val="00C62700"/>
    <w:rsid w:val="00C87419"/>
    <w:rsid w:val="00CB1792"/>
    <w:rsid w:val="00CC3AFE"/>
    <w:rsid w:val="00CC7EEE"/>
    <w:rsid w:val="00CD6DF7"/>
    <w:rsid w:val="00CF251D"/>
    <w:rsid w:val="00D2200E"/>
    <w:rsid w:val="00D5315D"/>
    <w:rsid w:val="00D66735"/>
    <w:rsid w:val="00DE5C98"/>
    <w:rsid w:val="00DF5D24"/>
    <w:rsid w:val="00E003C7"/>
    <w:rsid w:val="00E16E68"/>
    <w:rsid w:val="00E2134E"/>
    <w:rsid w:val="00EA12E3"/>
    <w:rsid w:val="00F11CF9"/>
    <w:rsid w:val="00F14E4A"/>
    <w:rsid w:val="00F653C0"/>
    <w:rsid w:val="00F86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2175</TotalTime>
  <Pages>6</Pages>
  <Words>1994</Words>
  <Characters>11371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2019-05-03T00:01:00Z</dcterms:created>
  <dcterms:modified xsi:type="dcterms:W3CDTF">2019-05-04T18:25:00Z</dcterms:modified>
</cp:coreProperties>
</file>