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757CDB" w:rsidRPr="00C35509" w:rsidRDefault="00E16E68" w:rsidP="00C87419">
      <w:pPr>
        <w:spacing w:after="0"/>
        <w:rPr>
          <w:sz w:val="24"/>
          <w:szCs w:val="24"/>
        </w:rPr>
      </w:pPr>
      <w:r>
        <w:rPr>
          <w:b/>
          <w:sz w:val="24"/>
          <w:szCs w:val="24"/>
        </w:rPr>
        <w:t>Case:</w:t>
      </w:r>
      <w:r w:rsidR="008E5B66">
        <w:rPr>
          <w:b/>
          <w:sz w:val="24"/>
          <w:szCs w:val="24"/>
        </w:rPr>
        <w:tab/>
      </w:r>
      <w:r w:rsidR="00C35509">
        <w:rPr>
          <w:i/>
          <w:sz w:val="24"/>
          <w:szCs w:val="24"/>
        </w:rPr>
        <w:t>Blanchard v. Bergeron et al.</w:t>
      </w:r>
      <w:r w:rsidR="00C35509">
        <w:rPr>
          <w:sz w:val="24"/>
          <w:szCs w:val="24"/>
        </w:rPr>
        <w:t>, 489 U.S. 87 (1989)</w:t>
      </w:r>
    </w:p>
    <w:p w:rsidR="00E16E68" w:rsidRPr="00757CDB" w:rsidRDefault="008E5B66" w:rsidP="00C87419">
      <w:pPr>
        <w:spacing w:after="0"/>
        <w:rPr>
          <w:sz w:val="24"/>
          <w:szCs w:val="24"/>
        </w:rPr>
      </w:pPr>
      <w:r>
        <w:rPr>
          <w:b/>
          <w:sz w:val="24"/>
          <w:szCs w:val="24"/>
        </w:rPr>
        <w:t>Date:</w:t>
      </w:r>
      <w:r>
        <w:rPr>
          <w:b/>
          <w:sz w:val="24"/>
          <w:szCs w:val="24"/>
        </w:rPr>
        <w:tab/>
      </w:r>
      <w:r w:rsidR="00C35509">
        <w:rPr>
          <w:sz w:val="24"/>
          <w:szCs w:val="24"/>
        </w:rPr>
        <w:t>Feb. 21, 1989</w:t>
      </w:r>
      <w:r>
        <w:rPr>
          <w:b/>
          <w:sz w:val="24"/>
          <w:szCs w:val="24"/>
        </w:rPr>
        <w:tab/>
      </w:r>
      <w:r w:rsidR="00A65C5C">
        <w:rPr>
          <w:b/>
          <w:sz w:val="24"/>
          <w:szCs w:val="24"/>
        </w:rPr>
        <w:tab/>
      </w:r>
      <w:r w:rsidR="00A65C5C">
        <w:rPr>
          <w:b/>
          <w:sz w:val="24"/>
          <w:szCs w:val="24"/>
        </w:rPr>
        <w:tab/>
      </w:r>
      <w:r w:rsidR="00A65C5C">
        <w:rPr>
          <w:b/>
          <w:sz w:val="24"/>
          <w:szCs w:val="24"/>
        </w:rPr>
        <w:tab/>
      </w:r>
      <w:r>
        <w:rPr>
          <w:b/>
          <w:sz w:val="24"/>
          <w:szCs w:val="24"/>
        </w:rPr>
        <w:t>Votes:</w:t>
      </w:r>
      <w:r w:rsidR="00757CDB">
        <w:rPr>
          <w:sz w:val="24"/>
          <w:szCs w:val="24"/>
        </w:rPr>
        <w:t xml:space="preserve"> </w:t>
      </w:r>
      <w:r w:rsidR="00C35509">
        <w:rPr>
          <w:sz w:val="24"/>
          <w:szCs w:val="24"/>
        </w:rPr>
        <w:t>Unanimous (Rehnquist Court)</w:t>
      </w:r>
    </w:p>
    <w:p w:rsidR="00CB1792" w:rsidRPr="00CB1792" w:rsidRDefault="008E5B66" w:rsidP="00C87419">
      <w:pPr>
        <w:spacing w:after="0"/>
        <w:rPr>
          <w:sz w:val="24"/>
          <w:szCs w:val="24"/>
        </w:rPr>
      </w:pPr>
      <w:r>
        <w:rPr>
          <w:b/>
          <w:sz w:val="24"/>
          <w:szCs w:val="24"/>
        </w:rPr>
        <w:t>Opinion</w:t>
      </w:r>
      <w:r w:rsidR="00E16E68">
        <w:rPr>
          <w:b/>
          <w:sz w:val="24"/>
          <w:szCs w:val="24"/>
        </w:rPr>
        <w:t>:</w:t>
      </w:r>
      <w:r w:rsidR="00C35509">
        <w:rPr>
          <w:sz w:val="24"/>
          <w:szCs w:val="24"/>
        </w:rPr>
        <w:t xml:space="preserve"> Justice White</w:t>
      </w:r>
      <w:r w:rsidR="007D3F07">
        <w:rPr>
          <w:b/>
          <w:sz w:val="24"/>
          <w:szCs w:val="24"/>
        </w:rPr>
        <w:tab/>
      </w:r>
      <w:r w:rsidR="00757CDB">
        <w:rPr>
          <w:b/>
          <w:sz w:val="24"/>
          <w:szCs w:val="24"/>
        </w:rPr>
        <w:tab/>
      </w:r>
      <w:r w:rsidR="00757CDB">
        <w:rPr>
          <w:b/>
          <w:sz w:val="24"/>
          <w:szCs w:val="24"/>
        </w:rPr>
        <w:tab/>
      </w:r>
      <w:r w:rsidR="00CB1792">
        <w:rPr>
          <w:b/>
          <w:sz w:val="24"/>
          <w:szCs w:val="24"/>
        </w:rPr>
        <w:t>Concurrences:</w:t>
      </w:r>
      <w:r w:rsidR="00CB1792">
        <w:rPr>
          <w:sz w:val="24"/>
          <w:szCs w:val="24"/>
        </w:rPr>
        <w:t xml:space="preserve"> </w:t>
      </w:r>
      <w:r w:rsidR="008F2846">
        <w:rPr>
          <w:sz w:val="24"/>
          <w:szCs w:val="24"/>
        </w:rPr>
        <w:t>Scalia</w:t>
      </w:r>
    </w:p>
    <w:p w:rsidR="00C87419" w:rsidRDefault="00C87419" w:rsidP="00C87419">
      <w:pPr>
        <w:spacing w:after="0"/>
        <w:rPr>
          <w:b/>
          <w:sz w:val="24"/>
          <w:szCs w:val="24"/>
        </w:rPr>
      </w:pPr>
    </w:p>
    <w:p w:rsidR="00E16E68" w:rsidRPr="00757CDB" w:rsidRDefault="00E16E68" w:rsidP="00C87419">
      <w:pPr>
        <w:spacing w:after="0"/>
        <w:rPr>
          <w:sz w:val="24"/>
          <w:szCs w:val="24"/>
        </w:rPr>
      </w:pPr>
      <w:r>
        <w:rPr>
          <w:b/>
          <w:sz w:val="24"/>
          <w:szCs w:val="24"/>
        </w:rPr>
        <w:t>Tags:</w:t>
      </w:r>
      <w:r w:rsidR="00757CDB">
        <w:rPr>
          <w:sz w:val="24"/>
          <w:szCs w:val="24"/>
        </w:rPr>
        <w:t xml:space="preserve"> </w:t>
      </w:r>
      <w:r w:rsidR="00C35509">
        <w:rPr>
          <w:sz w:val="24"/>
          <w:szCs w:val="24"/>
        </w:rPr>
        <w:t xml:space="preserve">Attorneys’ fees, contingent fee, Civil Rights case, </w:t>
      </w:r>
      <w:r w:rsidR="008F2846">
        <w:rPr>
          <w:sz w:val="24"/>
          <w:szCs w:val="24"/>
        </w:rPr>
        <w:t>legislative history, dicta, holdings</w:t>
      </w:r>
    </w:p>
    <w:p w:rsidR="00C87419" w:rsidRDefault="00C87419" w:rsidP="00C87419">
      <w:pPr>
        <w:spacing w:after="0"/>
        <w:rPr>
          <w:b/>
          <w:sz w:val="24"/>
          <w:szCs w:val="24"/>
        </w:rPr>
      </w:pPr>
    </w:p>
    <w:p w:rsidR="00E16E68" w:rsidRPr="00C35509" w:rsidRDefault="008E5B66" w:rsidP="00C87419">
      <w:pPr>
        <w:spacing w:after="0"/>
        <w:rPr>
          <w:sz w:val="24"/>
          <w:szCs w:val="24"/>
        </w:rPr>
      </w:pPr>
      <w:r>
        <w:rPr>
          <w:b/>
          <w:sz w:val="24"/>
          <w:szCs w:val="24"/>
        </w:rPr>
        <w:t>Question(s) Presented</w:t>
      </w:r>
      <w:r w:rsidR="00E16E68">
        <w:rPr>
          <w:b/>
          <w:sz w:val="24"/>
          <w:szCs w:val="24"/>
        </w:rPr>
        <w:t>:</w:t>
      </w:r>
      <w:r w:rsidR="00757CDB">
        <w:rPr>
          <w:sz w:val="24"/>
          <w:szCs w:val="24"/>
        </w:rPr>
        <w:t xml:space="preserve"> </w:t>
      </w:r>
      <w:r w:rsidR="00C35509">
        <w:rPr>
          <w:sz w:val="24"/>
          <w:szCs w:val="24"/>
        </w:rPr>
        <w:t xml:space="preserve">Is the attorney’s fee recoverable under 42 U.S.C. </w:t>
      </w:r>
      <w:r w:rsidR="00C35509">
        <w:rPr>
          <w:rFonts w:cstheme="minorHAnsi"/>
          <w:sz w:val="24"/>
          <w:szCs w:val="24"/>
        </w:rPr>
        <w:t>§</w:t>
      </w:r>
      <w:r w:rsidR="00C35509">
        <w:rPr>
          <w:sz w:val="24"/>
          <w:szCs w:val="24"/>
        </w:rPr>
        <w:t xml:space="preserve"> 1988</w:t>
      </w:r>
      <w:r w:rsidR="00C35509">
        <w:rPr>
          <w:b/>
          <w:sz w:val="24"/>
          <w:szCs w:val="24"/>
        </w:rPr>
        <w:t xml:space="preserve"> </w:t>
      </w:r>
      <w:r w:rsidR="00C35509">
        <w:rPr>
          <w:sz w:val="24"/>
          <w:szCs w:val="24"/>
        </w:rPr>
        <w:t>limited to the amount provided by a contingent-fee contract between attorney and plaintiff?</w:t>
      </w:r>
    </w:p>
    <w:p w:rsidR="00E16E68" w:rsidRPr="00EF4AB2" w:rsidRDefault="00E16E68" w:rsidP="00C87419">
      <w:pPr>
        <w:spacing w:after="0"/>
        <w:rPr>
          <w:b/>
          <w:color w:val="FF0000"/>
          <w:sz w:val="24"/>
          <w:szCs w:val="24"/>
        </w:rPr>
      </w:pPr>
      <w:r>
        <w:rPr>
          <w:b/>
          <w:sz w:val="24"/>
          <w:szCs w:val="24"/>
        </w:rPr>
        <w:t>Holdings:</w:t>
      </w:r>
      <w:r w:rsidR="00CC7EEE">
        <w:rPr>
          <w:sz w:val="24"/>
          <w:szCs w:val="24"/>
        </w:rPr>
        <w:t xml:space="preserve"> </w:t>
      </w:r>
      <w:r w:rsidR="0068019B">
        <w:rPr>
          <w:sz w:val="24"/>
          <w:szCs w:val="24"/>
        </w:rPr>
        <w:t>No, the recoverable attorney’s fee is not limited by any contingency arrangement. 5th Circuit’s decision reversed.</w:t>
      </w:r>
      <w:r w:rsidR="00EF4AB2">
        <w:rPr>
          <w:sz w:val="24"/>
          <w:szCs w:val="24"/>
        </w:rPr>
        <w:t xml:space="preserve"> </w:t>
      </w:r>
      <w:r w:rsidR="00EF4AB2">
        <w:rPr>
          <w:color w:val="FF0000"/>
          <w:sz w:val="24"/>
          <w:szCs w:val="24"/>
        </w:rPr>
        <w:t xml:space="preserve">Abrogates this portion of </w:t>
      </w:r>
      <w:r w:rsidR="00EF4AB2">
        <w:rPr>
          <w:i/>
          <w:color w:val="FF0000"/>
          <w:sz w:val="24"/>
          <w:szCs w:val="24"/>
        </w:rPr>
        <w:t>Johnson v. Georgia Highway Exp., Inc.</w:t>
      </w:r>
      <w:r w:rsidR="00EF4AB2">
        <w:rPr>
          <w:color w:val="FF0000"/>
          <w:sz w:val="24"/>
          <w:szCs w:val="24"/>
        </w:rPr>
        <w:t>, 488 F. 2d 714, 718 (5th Cir. 1974)</w:t>
      </w:r>
    </w:p>
    <w:p w:rsidR="00A65C5C" w:rsidRDefault="00A65C5C" w:rsidP="00C87419">
      <w:pPr>
        <w:spacing w:after="0"/>
        <w:rPr>
          <w:sz w:val="24"/>
          <w:szCs w:val="24"/>
        </w:rPr>
      </w:pPr>
    </w:p>
    <w:p w:rsidR="00A65C5C" w:rsidRPr="008F2846" w:rsidRDefault="00A65C5C" w:rsidP="00C87419">
      <w:pPr>
        <w:spacing w:after="0"/>
        <w:rPr>
          <w:sz w:val="24"/>
          <w:szCs w:val="24"/>
        </w:rPr>
      </w:pPr>
      <w:r>
        <w:rPr>
          <w:b/>
          <w:sz w:val="24"/>
          <w:szCs w:val="24"/>
        </w:rPr>
        <w:t>Rationale:</w:t>
      </w:r>
      <w:r w:rsidR="001A00BE">
        <w:rPr>
          <w:sz w:val="24"/>
          <w:szCs w:val="24"/>
        </w:rPr>
        <w:t xml:space="preserve"> </w:t>
      </w:r>
      <w:r w:rsidR="008F2846">
        <w:rPr>
          <w:sz w:val="24"/>
          <w:szCs w:val="24"/>
        </w:rPr>
        <w:t xml:space="preserve">Congress didn’t mean for contingency agreements to limit the award of “reasonable” attorney’s fees; in fact, sometimes nonprofit groups take these cases on pro bono, and then the agreement would be for nothing at all. The attorney’s fee award statute is meant to incentivize, not </w:t>
      </w:r>
      <w:proofErr w:type="spellStart"/>
      <w:r w:rsidR="008F2846">
        <w:rPr>
          <w:i/>
          <w:sz w:val="24"/>
          <w:szCs w:val="24"/>
        </w:rPr>
        <w:t>dis</w:t>
      </w:r>
      <w:r w:rsidR="008F2846">
        <w:rPr>
          <w:sz w:val="24"/>
          <w:szCs w:val="24"/>
        </w:rPr>
        <w:t>incentivize</w:t>
      </w:r>
      <w:proofErr w:type="spellEnd"/>
      <w:r w:rsidR="008F2846">
        <w:rPr>
          <w:sz w:val="24"/>
          <w:szCs w:val="24"/>
        </w:rPr>
        <w:t>, private enforcement of Civil Rights law.</w:t>
      </w:r>
    </w:p>
    <w:p w:rsidR="00C87419" w:rsidRDefault="00C87419" w:rsidP="00C87419">
      <w:pPr>
        <w:spacing w:after="0"/>
        <w:rPr>
          <w:b/>
          <w:sz w:val="24"/>
          <w:szCs w:val="24"/>
        </w:rPr>
      </w:pPr>
    </w:p>
    <w:p w:rsidR="008E5B66" w:rsidRPr="00F862E4" w:rsidRDefault="008E5B66" w:rsidP="008E5B66">
      <w:pPr>
        <w:spacing w:after="0"/>
        <w:rPr>
          <w:sz w:val="24"/>
          <w:szCs w:val="24"/>
        </w:rPr>
      </w:pPr>
      <w:r>
        <w:rPr>
          <w:b/>
          <w:sz w:val="24"/>
          <w:szCs w:val="24"/>
        </w:rPr>
        <w:t>Facts:</w:t>
      </w:r>
      <w:r w:rsidR="00F862E4">
        <w:rPr>
          <w:sz w:val="24"/>
          <w:szCs w:val="24"/>
        </w:rPr>
        <w:t xml:space="preserve"> </w:t>
      </w:r>
      <w:r w:rsidR="00CD13DF">
        <w:rPr>
          <w:sz w:val="24"/>
          <w:szCs w:val="24"/>
        </w:rPr>
        <w:t xml:space="preserve">Plaintiff sued under </w:t>
      </w:r>
      <w:r w:rsidR="00CD13DF" w:rsidRPr="00CD13DF">
        <w:rPr>
          <w:sz w:val="24"/>
          <w:szCs w:val="24"/>
        </w:rPr>
        <w:t xml:space="preserve">42 U.S.C. </w:t>
      </w:r>
      <w:r w:rsidR="00CD13DF" w:rsidRPr="00CD13DF">
        <w:rPr>
          <w:rFonts w:cstheme="minorHAnsi"/>
          <w:sz w:val="24"/>
          <w:szCs w:val="24"/>
        </w:rPr>
        <w:t>§ 1983</w:t>
      </w:r>
      <w:r w:rsidR="00CD13DF">
        <w:rPr>
          <w:sz w:val="24"/>
          <w:szCs w:val="24"/>
        </w:rPr>
        <w:t xml:space="preserve"> because he was beaten by police officer. </w:t>
      </w:r>
      <w:proofErr w:type="gramStart"/>
      <w:r w:rsidR="00CD13DF">
        <w:rPr>
          <w:sz w:val="24"/>
          <w:szCs w:val="24"/>
        </w:rPr>
        <w:t>Awarded $10K total in compensatory and punitive damages.</w:t>
      </w:r>
      <w:proofErr w:type="gramEnd"/>
      <w:r w:rsidR="00CD13DF">
        <w:rPr>
          <w:sz w:val="24"/>
          <w:szCs w:val="24"/>
        </w:rPr>
        <w:t xml:space="preserve"> Sought attorney’s fees under </w:t>
      </w:r>
      <w:r w:rsidR="00CD13DF" w:rsidRPr="00CD13DF">
        <w:rPr>
          <w:sz w:val="24"/>
          <w:szCs w:val="24"/>
        </w:rPr>
        <w:t xml:space="preserve">42 U.S.C. </w:t>
      </w:r>
      <w:r w:rsidR="00CD13DF" w:rsidRPr="00CD13DF">
        <w:rPr>
          <w:rFonts w:cstheme="minorHAnsi"/>
          <w:sz w:val="24"/>
          <w:szCs w:val="24"/>
        </w:rPr>
        <w:t>§ 1988</w:t>
      </w:r>
      <w:r w:rsidR="00CD13DF">
        <w:rPr>
          <w:rFonts w:cstheme="minorHAnsi"/>
          <w:sz w:val="24"/>
          <w:szCs w:val="24"/>
        </w:rPr>
        <w:t xml:space="preserve"> for &gt;$40K. District Court awarded $7,500 in attorney’s fees and $886.92 for costs and expenses. (89)</w:t>
      </w:r>
    </w:p>
    <w:p w:rsidR="008E5B66" w:rsidRDefault="008E5B66" w:rsidP="00C87419">
      <w:pPr>
        <w:spacing w:after="0"/>
        <w:rPr>
          <w:b/>
          <w:sz w:val="24"/>
          <w:szCs w:val="24"/>
        </w:rPr>
      </w:pPr>
    </w:p>
    <w:p w:rsidR="009917BC" w:rsidRDefault="00757CDB" w:rsidP="00C87419">
      <w:pPr>
        <w:spacing w:after="0"/>
        <w:rPr>
          <w:sz w:val="24"/>
          <w:szCs w:val="24"/>
        </w:rPr>
      </w:pPr>
      <w:r>
        <w:rPr>
          <w:b/>
          <w:sz w:val="24"/>
          <w:szCs w:val="24"/>
        </w:rPr>
        <w:t xml:space="preserve">Legal </w:t>
      </w:r>
      <w:r w:rsidR="009917BC">
        <w:rPr>
          <w:b/>
          <w:sz w:val="24"/>
          <w:szCs w:val="24"/>
        </w:rPr>
        <w:t>History, Prior Appeals &amp; Trial Court Input:</w:t>
      </w:r>
    </w:p>
    <w:p w:rsidR="001A00BE" w:rsidRPr="00CD13DF" w:rsidRDefault="00CD13DF" w:rsidP="001A00BE">
      <w:pPr>
        <w:pStyle w:val="ListParagraph"/>
        <w:numPr>
          <w:ilvl w:val="0"/>
          <w:numId w:val="7"/>
        </w:numPr>
        <w:spacing w:after="0"/>
        <w:rPr>
          <w:b/>
          <w:sz w:val="24"/>
          <w:szCs w:val="24"/>
        </w:rPr>
      </w:pPr>
      <w:r>
        <w:rPr>
          <w:b/>
          <w:sz w:val="24"/>
          <w:szCs w:val="24"/>
        </w:rPr>
        <w:t>District Court:</w:t>
      </w:r>
      <w:r>
        <w:rPr>
          <w:sz w:val="24"/>
          <w:szCs w:val="24"/>
        </w:rPr>
        <w:t xml:space="preserve"> found in favor of plaintiff in beating case, but only awarded $7,500 in attorney’s fees.</w:t>
      </w:r>
    </w:p>
    <w:p w:rsidR="00CD13DF" w:rsidRPr="0068019B" w:rsidRDefault="00CD13DF" w:rsidP="001A00BE">
      <w:pPr>
        <w:pStyle w:val="ListParagraph"/>
        <w:numPr>
          <w:ilvl w:val="0"/>
          <w:numId w:val="7"/>
        </w:numPr>
        <w:spacing w:after="0"/>
        <w:rPr>
          <w:b/>
          <w:sz w:val="24"/>
          <w:szCs w:val="24"/>
        </w:rPr>
      </w:pPr>
      <w:r>
        <w:rPr>
          <w:b/>
          <w:sz w:val="24"/>
          <w:szCs w:val="24"/>
        </w:rPr>
        <w:t>5th Circuit:</w:t>
      </w:r>
      <w:r>
        <w:rPr>
          <w:sz w:val="24"/>
          <w:szCs w:val="24"/>
        </w:rPr>
        <w:t xml:space="preserve"> “reduced the award because petitioner had entered into a contingent-fee arrangement with his lawyer, under which the attorney was to receive 40% of any damages awarded should petitioner prevail in his suit.” (90) – Bound by</w:t>
      </w:r>
      <w:r w:rsidR="0068019B">
        <w:rPr>
          <w:sz w:val="24"/>
          <w:szCs w:val="24"/>
        </w:rPr>
        <w:t xml:space="preserve"> their own</w:t>
      </w:r>
      <w:r>
        <w:rPr>
          <w:sz w:val="24"/>
          <w:szCs w:val="24"/>
        </w:rPr>
        <w:t xml:space="preserve"> </w:t>
      </w:r>
      <w:r>
        <w:rPr>
          <w:i/>
          <w:sz w:val="24"/>
          <w:szCs w:val="24"/>
        </w:rPr>
        <w:t>Johnson v. Georgia</w:t>
      </w:r>
      <w:r w:rsidR="0068019B">
        <w:rPr>
          <w:sz w:val="24"/>
          <w:szCs w:val="24"/>
        </w:rPr>
        <w:t xml:space="preserve"> because there was a contingency agreement.</w:t>
      </w:r>
    </w:p>
    <w:p w:rsidR="0068019B" w:rsidRPr="001A00BE" w:rsidRDefault="0068019B" w:rsidP="001A00BE">
      <w:pPr>
        <w:pStyle w:val="ListParagraph"/>
        <w:numPr>
          <w:ilvl w:val="0"/>
          <w:numId w:val="7"/>
        </w:numPr>
        <w:spacing w:after="0"/>
        <w:rPr>
          <w:b/>
          <w:sz w:val="24"/>
          <w:szCs w:val="24"/>
        </w:rPr>
      </w:pPr>
      <w:r>
        <w:rPr>
          <w:b/>
          <w:sz w:val="24"/>
          <w:szCs w:val="24"/>
        </w:rPr>
        <w:t xml:space="preserve">Other Circuits: </w:t>
      </w:r>
      <w:r>
        <w:rPr>
          <w:sz w:val="24"/>
          <w:szCs w:val="24"/>
        </w:rPr>
        <w:t>Nope, fees are not limited in this way.</w:t>
      </w:r>
    </w:p>
    <w:p w:rsidR="008E590A" w:rsidRDefault="008E590A" w:rsidP="008E5B66">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C35509" w:rsidRPr="00CD13DF" w:rsidRDefault="00C35509" w:rsidP="00C35509">
      <w:pPr>
        <w:pStyle w:val="ListParagraph"/>
        <w:numPr>
          <w:ilvl w:val="0"/>
          <w:numId w:val="7"/>
        </w:numPr>
        <w:spacing w:after="0"/>
        <w:rPr>
          <w:b/>
          <w:sz w:val="24"/>
          <w:szCs w:val="24"/>
        </w:rPr>
      </w:pPr>
      <w:r>
        <w:rPr>
          <w:b/>
          <w:sz w:val="24"/>
          <w:szCs w:val="24"/>
        </w:rPr>
        <w:t xml:space="preserve">42 U.S.C. </w:t>
      </w:r>
      <w:r w:rsidRPr="00C35509">
        <w:rPr>
          <w:rFonts w:cstheme="minorHAnsi"/>
          <w:b/>
          <w:sz w:val="24"/>
          <w:szCs w:val="24"/>
        </w:rPr>
        <w:t>§</w:t>
      </w:r>
      <w:r w:rsidR="00CD13DF">
        <w:rPr>
          <w:rFonts w:cstheme="minorHAnsi"/>
          <w:b/>
          <w:sz w:val="24"/>
          <w:szCs w:val="24"/>
        </w:rPr>
        <w:t xml:space="preserve"> 1983:</w:t>
      </w:r>
      <w:r w:rsidR="00CD13DF">
        <w:rPr>
          <w:rFonts w:cstheme="minorHAnsi"/>
          <w:sz w:val="24"/>
          <w:szCs w:val="24"/>
        </w:rPr>
        <w:t xml:space="preserve"> Civil Rights Act of 1871 that allows someone to sue anyone acting “under color of” </w:t>
      </w:r>
      <w:proofErr w:type="spellStart"/>
      <w:r w:rsidR="00CD13DF">
        <w:rPr>
          <w:rFonts w:cstheme="minorHAnsi"/>
          <w:sz w:val="24"/>
          <w:szCs w:val="24"/>
        </w:rPr>
        <w:t>gov’t</w:t>
      </w:r>
      <w:proofErr w:type="spellEnd"/>
      <w:r w:rsidR="00CD13DF">
        <w:rPr>
          <w:rFonts w:cstheme="minorHAnsi"/>
          <w:sz w:val="24"/>
          <w:szCs w:val="24"/>
        </w:rPr>
        <w:t xml:space="preserve"> for violation of Constitutional or statutory rights.</w:t>
      </w:r>
    </w:p>
    <w:p w:rsidR="00CD13DF" w:rsidRPr="00CD13DF" w:rsidRDefault="00CD13DF" w:rsidP="00C35509">
      <w:pPr>
        <w:pStyle w:val="ListParagraph"/>
        <w:numPr>
          <w:ilvl w:val="0"/>
          <w:numId w:val="7"/>
        </w:numPr>
        <w:spacing w:after="0"/>
        <w:rPr>
          <w:b/>
          <w:sz w:val="24"/>
          <w:szCs w:val="24"/>
        </w:rPr>
      </w:pPr>
      <w:r>
        <w:rPr>
          <w:b/>
          <w:sz w:val="24"/>
          <w:szCs w:val="24"/>
        </w:rPr>
        <w:t xml:space="preserve">42 U.S.C. </w:t>
      </w:r>
      <w:r w:rsidRPr="00C35509">
        <w:rPr>
          <w:rFonts w:cstheme="minorHAnsi"/>
          <w:b/>
          <w:sz w:val="24"/>
          <w:szCs w:val="24"/>
        </w:rPr>
        <w:t>§</w:t>
      </w:r>
      <w:r>
        <w:rPr>
          <w:rFonts w:cstheme="minorHAnsi"/>
          <w:b/>
          <w:sz w:val="24"/>
          <w:szCs w:val="24"/>
        </w:rPr>
        <w:t xml:space="preserve"> 1988:</w:t>
      </w:r>
      <w:r>
        <w:rPr>
          <w:rFonts w:cstheme="minorHAnsi"/>
          <w:sz w:val="24"/>
          <w:szCs w:val="24"/>
        </w:rPr>
        <w:t xml:space="preserve"> Civil Rights Attorney’s Fees Award Act 1976</w:t>
      </w:r>
      <w:r w:rsidR="0068019B">
        <w:rPr>
          <w:rFonts w:cstheme="minorHAnsi"/>
          <w:sz w:val="24"/>
          <w:szCs w:val="24"/>
        </w:rPr>
        <w:t>—court may award a “reasonable” attorney’s fee (no guidance for “reasonable”). (91)</w:t>
      </w:r>
    </w:p>
    <w:p w:rsidR="00CD13DF" w:rsidRPr="00E82BBB" w:rsidRDefault="00CD13DF" w:rsidP="00C35509">
      <w:pPr>
        <w:pStyle w:val="ListParagraph"/>
        <w:numPr>
          <w:ilvl w:val="0"/>
          <w:numId w:val="7"/>
        </w:numPr>
        <w:spacing w:after="0"/>
        <w:rPr>
          <w:b/>
          <w:sz w:val="24"/>
          <w:szCs w:val="24"/>
        </w:rPr>
      </w:pPr>
      <w:r>
        <w:rPr>
          <w:b/>
          <w:i/>
          <w:sz w:val="24"/>
          <w:szCs w:val="24"/>
        </w:rPr>
        <w:t>Johnson v. Georgia Highway Exp., Inc.</w:t>
      </w:r>
      <w:r>
        <w:rPr>
          <w:b/>
          <w:sz w:val="24"/>
          <w:szCs w:val="24"/>
        </w:rPr>
        <w:t>, 488 F.2d 714, 718 (1974):</w:t>
      </w:r>
      <w:r>
        <w:rPr>
          <w:sz w:val="24"/>
          <w:szCs w:val="24"/>
        </w:rPr>
        <w:t xml:space="preserve"> one of the twelve rules said that fee award should not exceed whatever contingency arrangement had been made with lawyer if there was one.</w:t>
      </w:r>
      <w:r w:rsidR="0068019B">
        <w:rPr>
          <w:sz w:val="24"/>
          <w:szCs w:val="24"/>
        </w:rPr>
        <w:t xml:space="preserve"> (Note that this was decided BEFORE the enactment of the Civil Rights Attorney Fee Act of 1976.)</w:t>
      </w:r>
    </w:p>
    <w:p w:rsidR="00E82BBB" w:rsidRPr="00E82BBB" w:rsidRDefault="00E82BBB" w:rsidP="00C35509">
      <w:pPr>
        <w:pStyle w:val="ListParagraph"/>
        <w:numPr>
          <w:ilvl w:val="0"/>
          <w:numId w:val="7"/>
        </w:numPr>
        <w:spacing w:after="0"/>
        <w:rPr>
          <w:b/>
          <w:sz w:val="24"/>
          <w:szCs w:val="24"/>
        </w:rPr>
      </w:pPr>
      <w:r>
        <w:rPr>
          <w:b/>
          <w:i/>
          <w:sz w:val="24"/>
          <w:szCs w:val="24"/>
        </w:rPr>
        <w:lastRenderedPageBreak/>
        <w:t xml:space="preserve">Hensley v. </w:t>
      </w:r>
      <w:proofErr w:type="spellStart"/>
      <w:r>
        <w:rPr>
          <w:b/>
          <w:i/>
          <w:sz w:val="24"/>
          <w:szCs w:val="24"/>
        </w:rPr>
        <w:t>Eckerhart</w:t>
      </w:r>
      <w:proofErr w:type="spellEnd"/>
      <w:r>
        <w:rPr>
          <w:b/>
          <w:sz w:val="24"/>
          <w:szCs w:val="24"/>
        </w:rPr>
        <w:t>, 461 U.S. 424 (1983):</w:t>
      </w:r>
      <w:r>
        <w:rPr>
          <w:sz w:val="24"/>
          <w:szCs w:val="24"/>
        </w:rPr>
        <w:t xml:space="preserve"> “reasonable” = apply prevailing billing rates to hours reasonably expended.</w:t>
      </w:r>
    </w:p>
    <w:p w:rsidR="00E82BBB" w:rsidRPr="00E82BBB" w:rsidRDefault="00E82BBB" w:rsidP="00C35509">
      <w:pPr>
        <w:pStyle w:val="ListParagraph"/>
        <w:numPr>
          <w:ilvl w:val="0"/>
          <w:numId w:val="7"/>
        </w:numPr>
        <w:spacing w:after="0"/>
        <w:rPr>
          <w:b/>
          <w:sz w:val="24"/>
          <w:szCs w:val="24"/>
        </w:rPr>
      </w:pPr>
      <w:r>
        <w:rPr>
          <w:b/>
          <w:i/>
          <w:sz w:val="24"/>
          <w:szCs w:val="24"/>
        </w:rPr>
        <w:t xml:space="preserve">Blum v. </w:t>
      </w:r>
      <w:proofErr w:type="spellStart"/>
      <w:r>
        <w:rPr>
          <w:b/>
          <w:i/>
          <w:sz w:val="24"/>
          <w:szCs w:val="24"/>
        </w:rPr>
        <w:t>Stenson</w:t>
      </w:r>
      <w:proofErr w:type="spellEnd"/>
      <w:r>
        <w:rPr>
          <w:b/>
          <w:sz w:val="24"/>
          <w:szCs w:val="24"/>
        </w:rPr>
        <w:t>, 465 U.S. 886, 888 (1984):</w:t>
      </w:r>
      <w:r>
        <w:rPr>
          <w:sz w:val="24"/>
          <w:szCs w:val="24"/>
        </w:rPr>
        <w:t xml:space="preserve"> “reasonable” = </w:t>
      </w:r>
      <w:r w:rsidR="003104E8">
        <w:rPr>
          <w:sz w:val="24"/>
          <w:szCs w:val="24"/>
        </w:rPr>
        <w:t>reasonable hours times reasonable rate. (Lodestar calculation—may be adjusted by other factors by court.)</w:t>
      </w:r>
    </w:p>
    <w:p w:rsidR="00C87419" w:rsidRDefault="00C87419" w:rsidP="00C87419">
      <w:pPr>
        <w:spacing w:after="0"/>
        <w:rPr>
          <w:b/>
          <w:sz w:val="24"/>
          <w:szCs w:val="24"/>
        </w:rPr>
      </w:pPr>
    </w:p>
    <w:p w:rsidR="00E16E68" w:rsidRDefault="00E16E68" w:rsidP="00C87419">
      <w:pPr>
        <w:spacing w:after="0"/>
        <w:rPr>
          <w:b/>
          <w:sz w:val="24"/>
          <w:szCs w:val="24"/>
        </w:rPr>
      </w:pPr>
      <w:r>
        <w:rPr>
          <w:b/>
          <w:sz w:val="24"/>
          <w:szCs w:val="24"/>
        </w:rPr>
        <w:t>Dicta</w:t>
      </w:r>
      <w:r w:rsidR="006309A8">
        <w:rPr>
          <w:b/>
          <w:sz w:val="24"/>
          <w:szCs w:val="24"/>
        </w:rPr>
        <w:t>/Discussion</w:t>
      </w:r>
      <w:r>
        <w:rPr>
          <w:b/>
          <w:sz w:val="24"/>
          <w:szCs w:val="24"/>
        </w:rPr>
        <w:t>:</w:t>
      </w:r>
    </w:p>
    <w:p w:rsidR="0068019B" w:rsidRPr="0068019B" w:rsidRDefault="0068019B" w:rsidP="0068019B">
      <w:pPr>
        <w:pStyle w:val="ListParagraph"/>
        <w:numPr>
          <w:ilvl w:val="0"/>
          <w:numId w:val="7"/>
        </w:numPr>
        <w:spacing w:after="0"/>
        <w:rPr>
          <w:b/>
          <w:sz w:val="24"/>
          <w:szCs w:val="24"/>
        </w:rPr>
      </w:pPr>
      <w:r>
        <w:rPr>
          <w:sz w:val="24"/>
          <w:szCs w:val="24"/>
        </w:rPr>
        <w:t xml:space="preserve">Legislative history of </w:t>
      </w:r>
      <w:r w:rsidRPr="0068019B">
        <w:rPr>
          <w:rFonts w:cstheme="minorHAnsi"/>
          <w:sz w:val="24"/>
          <w:szCs w:val="24"/>
        </w:rPr>
        <w:t>§ 1988</w:t>
      </w:r>
      <w:r>
        <w:rPr>
          <w:rFonts w:cstheme="minorHAnsi"/>
          <w:sz w:val="24"/>
          <w:szCs w:val="24"/>
        </w:rPr>
        <w:t xml:space="preserve"> indicates that attorneys should be paid “for all time reasonably expended on the matter” (91). The contingency fee is not determinative of the amount</w:t>
      </w:r>
      <w:r w:rsidRPr="0068019B">
        <w:rPr>
          <w:b/>
          <w:sz w:val="24"/>
          <w:szCs w:val="24"/>
        </w:rPr>
        <w:t>.</w:t>
      </w:r>
    </w:p>
    <w:p w:rsidR="0068019B" w:rsidRPr="0068019B" w:rsidRDefault="0068019B" w:rsidP="0068019B">
      <w:pPr>
        <w:pStyle w:val="ListParagraph"/>
        <w:numPr>
          <w:ilvl w:val="0"/>
          <w:numId w:val="7"/>
        </w:numPr>
        <w:spacing w:after="0"/>
        <w:rPr>
          <w:b/>
          <w:sz w:val="24"/>
          <w:szCs w:val="24"/>
        </w:rPr>
      </w:pPr>
      <w:r>
        <w:rPr>
          <w:rFonts w:cstheme="minorHAnsi"/>
          <w:i/>
          <w:sz w:val="24"/>
          <w:szCs w:val="24"/>
        </w:rPr>
        <w:t>Johnson</w:t>
      </w:r>
      <w:r>
        <w:rPr>
          <w:rFonts w:cstheme="minorHAnsi"/>
          <w:sz w:val="24"/>
          <w:szCs w:val="24"/>
        </w:rPr>
        <w:t>: “In no event, however, should the litigant be awarded a fee greater than he is contractually bound to pay, if indeed the attorneys have contracted as to amount.” (488 F. 2d at 718)</w:t>
      </w:r>
    </w:p>
    <w:p w:rsidR="0068019B" w:rsidRPr="00E82BBB" w:rsidRDefault="00E82BBB" w:rsidP="0068019B">
      <w:pPr>
        <w:pStyle w:val="ListParagraph"/>
        <w:numPr>
          <w:ilvl w:val="0"/>
          <w:numId w:val="7"/>
        </w:numPr>
        <w:spacing w:after="0"/>
        <w:rPr>
          <w:b/>
          <w:sz w:val="24"/>
          <w:szCs w:val="24"/>
        </w:rPr>
      </w:pPr>
      <w:r>
        <w:rPr>
          <w:sz w:val="24"/>
          <w:szCs w:val="24"/>
        </w:rPr>
        <w:t>“</w:t>
      </w:r>
      <w:r>
        <w:rPr>
          <w:i/>
          <w:sz w:val="24"/>
          <w:szCs w:val="24"/>
        </w:rPr>
        <w:t>Johnson</w:t>
      </w:r>
      <w:r>
        <w:rPr>
          <w:sz w:val="24"/>
          <w:szCs w:val="24"/>
        </w:rPr>
        <w:t>’s ‘list of 12’ thus provides a useful catalog of the many factors to be considered in assessing the reasonableness of an award of attorney’s fees; but the one factor at issue here, the attorney’s private fee arrangement, standing alone, is not dispositive.” (93)</w:t>
      </w:r>
    </w:p>
    <w:p w:rsidR="00E82BBB" w:rsidRPr="00E82BBB" w:rsidRDefault="00E82BBB" w:rsidP="0068019B">
      <w:pPr>
        <w:pStyle w:val="ListParagraph"/>
        <w:numPr>
          <w:ilvl w:val="0"/>
          <w:numId w:val="7"/>
        </w:numPr>
        <w:spacing w:after="0"/>
        <w:rPr>
          <w:b/>
          <w:sz w:val="24"/>
          <w:szCs w:val="24"/>
        </w:rPr>
      </w:pPr>
      <w:r w:rsidRPr="00E82BBB">
        <w:rPr>
          <w:color w:val="FF0000"/>
          <w:sz w:val="24"/>
          <w:szCs w:val="24"/>
        </w:rPr>
        <w:t xml:space="preserve">“As we understand </w:t>
      </w:r>
      <w:r w:rsidRPr="00E82BBB">
        <w:rPr>
          <w:rFonts w:cstheme="minorHAnsi"/>
          <w:color w:val="FF0000"/>
          <w:sz w:val="24"/>
          <w:szCs w:val="24"/>
        </w:rPr>
        <w:t>§ 1988’s provision for allowing a ‘reasonable attorney’s fee,’ it contemplates reasonable compensation, in light of all of the circumstances, for the time and effort expended by the attorney for the prevailing plaintiff, no more and no less.”</w:t>
      </w:r>
      <w:r>
        <w:rPr>
          <w:rFonts w:cstheme="minorHAnsi"/>
          <w:sz w:val="24"/>
          <w:szCs w:val="24"/>
        </w:rPr>
        <w:t xml:space="preserve"> (93) (So if contingency agreement is “unreasonably” low or high, it won’t match the “reasonable” award.)</w:t>
      </w:r>
    </w:p>
    <w:p w:rsidR="00E82BBB" w:rsidRPr="00E82BBB" w:rsidRDefault="00E82BBB" w:rsidP="0068019B">
      <w:pPr>
        <w:pStyle w:val="ListParagraph"/>
        <w:numPr>
          <w:ilvl w:val="0"/>
          <w:numId w:val="7"/>
        </w:numPr>
        <w:spacing w:after="0"/>
        <w:rPr>
          <w:b/>
          <w:sz w:val="24"/>
          <w:szCs w:val="24"/>
        </w:rPr>
      </w:pPr>
      <w:r>
        <w:rPr>
          <w:sz w:val="24"/>
          <w:szCs w:val="24"/>
        </w:rPr>
        <w:t>“</w:t>
      </w:r>
      <w:proofErr w:type="gramStart"/>
      <w:r>
        <w:rPr>
          <w:sz w:val="24"/>
          <w:szCs w:val="24"/>
        </w:rPr>
        <w:t>Plaintiffs</w:t>
      </w:r>
      <w:proofErr w:type="gramEnd"/>
      <w:r>
        <w:rPr>
          <w:sz w:val="24"/>
          <w:szCs w:val="24"/>
        </w:rPr>
        <w:t xml:space="preserve"> who can afford to hire their own lawyers, as well as impecunious litigants, may take advantage of this provision.” (94)</w:t>
      </w:r>
    </w:p>
    <w:p w:rsidR="00E82BBB" w:rsidRPr="003104E8" w:rsidRDefault="003104E8" w:rsidP="0068019B">
      <w:pPr>
        <w:pStyle w:val="ListParagraph"/>
        <w:numPr>
          <w:ilvl w:val="0"/>
          <w:numId w:val="7"/>
        </w:numPr>
        <w:spacing w:after="0"/>
        <w:rPr>
          <w:b/>
          <w:sz w:val="24"/>
          <w:szCs w:val="24"/>
        </w:rPr>
      </w:pPr>
      <w:r>
        <w:rPr>
          <w:sz w:val="24"/>
          <w:szCs w:val="24"/>
        </w:rPr>
        <w:t xml:space="preserve">“The </w:t>
      </w:r>
      <w:r>
        <w:rPr>
          <w:i/>
          <w:sz w:val="24"/>
          <w:szCs w:val="24"/>
        </w:rPr>
        <w:t>Johnson</w:t>
      </w:r>
      <w:r>
        <w:rPr>
          <w:sz w:val="24"/>
          <w:szCs w:val="24"/>
        </w:rPr>
        <w:t xml:space="preserve"> factors may be relevant in adjusting the lodestar amount, but no one factor is a substitute for multiplying reasonable billing rates by a reasonable estimation of the number of hours expended on the litigation.” (94)</w:t>
      </w:r>
    </w:p>
    <w:p w:rsidR="003104E8" w:rsidRPr="003104E8" w:rsidRDefault="003104E8" w:rsidP="0068019B">
      <w:pPr>
        <w:pStyle w:val="ListParagraph"/>
        <w:numPr>
          <w:ilvl w:val="0"/>
          <w:numId w:val="7"/>
        </w:numPr>
        <w:spacing w:after="0"/>
        <w:rPr>
          <w:b/>
          <w:sz w:val="24"/>
          <w:szCs w:val="24"/>
        </w:rPr>
      </w:pPr>
      <w:r w:rsidRPr="003104E8">
        <w:rPr>
          <w:color w:val="FF0000"/>
          <w:sz w:val="24"/>
          <w:szCs w:val="24"/>
        </w:rPr>
        <w:t xml:space="preserve">“That a nonprofit legal services organization may contractually have agreed not to charge </w:t>
      </w:r>
      <w:r w:rsidRPr="003104E8">
        <w:rPr>
          <w:i/>
          <w:color w:val="FF0000"/>
          <w:sz w:val="24"/>
          <w:szCs w:val="24"/>
        </w:rPr>
        <w:t>any</w:t>
      </w:r>
      <w:r w:rsidRPr="003104E8">
        <w:rPr>
          <w:color w:val="FF0000"/>
          <w:sz w:val="24"/>
          <w:szCs w:val="24"/>
        </w:rPr>
        <w:t xml:space="preserve"> fee of a civil rights plaintiff does not preclude the award of a reasonable fee to a prevailing party in a </w:t>
      </w:r>
      <w:r w:rsidRPr="003104E8">
        <w:rPr>
          <w:rFonts w:cstheme="minorHAnsi"/>
          <w:color w:val="FF0000"/>
          <w:sz w:val="24"/>
          <w:szCs w:val="24"/>
        </w:rPr>
        <w:t>§ 1983 action, calculated in the usual way.”</w:t>
      </w:r>
      <w:r>
        <w:rPr>
          <w:rFonts w:cstheme="minorHAnsi"/>
          <w:sz w:val="24"/>
          <w:szCs w:val="24"/>
        </w:rPr>
        <w:t xml:space="preserve"> (95)</w:t>
      </w:r>
    </w:p>
    <w:p w:rsidR="003104E8" w:rsidRPr="003104E8" w:rsidRDefault="003104E8" w:rsidP="0068019B">
      <w:pPr>
        <w:pStyle w:val="ListParagraph"/>
        <w:numPr>
          <w:ilvl w:val="0"/>
          <w:numId w:val="7"/>
        </w:numPr>
        <w:spacing w:after="0"/>
        <w:rPr>
          <w:b/>
          <w:sz w:val="24"/>
          <w:szCs w:val="24"/>
        </w:rPr>
      </w:pPr>
      <w:r>
        <w:rPr>
          <w:sz w:val="24"/>
          <w:szCs w:val="24"/>
        </w:rPr>
        <w:t xml:space="preserve">“Affirming the decision below would create an artificial </w:t>
      </w:r>
      <w:proofErr w:type="spellStart"/>
      <w:r>
        <w:rPr>
          <w:sz w:val="24"/>
          <w:szCs w:val="24"/>
        </w:rPr>
        <w:t>dis</w:t>
      </w:r>
      <w:proofErr w:type="spellEnd"/>
      <w:r>
        <w:rPr>
          <w:sz w:val="24"/>
          <w:szCs w:val="24"/>
        </w:rPr>
        <w:t>-incentive for an attorney who enters into a contingent-fee agreement, unsure of whether his client’s claim sounded in state tort law or in federal civil rights, from fully exploring all possible avenues of relief.” (95)</w:t>
      </w:r>
    </w:p>
    <w:p w:rsidR="003104E8" w:rsidRPr="003104E8" w:rsidRDefault="003104E8" w:rsidP="0068019B">
      <w:pPr>
        <w:pStyle w:val="ListParagraph"/>
        <w:numPr>
          <w:ilvl w:val="0"/>
          <w:numId w:val="7"/>
        </w:numPr>
        <w:spacing w:after="0"/>
        <w:rPr>
          <w:b/>
          <w:sz w:val="24"/>
          <w:szCs w:val="24"/>
        </w:rPr>
      </w:pPr>
      <w:r>
        <w:rPr>
          <w:sz w:val="24"/>
          <w:szCs w:val="24"/>
        </w:rPr>
        <w:t xml:space="preserve">No fear of windfall—we’re talking about “reasonable” awards: </w:t>
      </w:r>
      <w:r>
        <w:rPr>
          <w:color w:val="FF0000"/>
          <w:sz w:val="24"/>
          <w:szCs w:val="24"/>
        </w:rPr>
        <w:t xml:space="preserve">“It is central to the awarding of attorney’s fees under </w:t>
      </w:r>
      <w:r w:rsidRPr="003104E8">
        <w:rPr>
          <w:rFonts w:cstheme="minorHAnsi"/>
          <w:color w:val="FF0000"/>
          <w:sz w:val="24"/>
          <w:szCs w:val="24"/>
        </w:rPr>
        <w:t>§ 1988</w:t>
      </w:r>
      <w:r>
        <w:rPr>
          <w:rFonts w:cstheme="minorHAnsi"/>
          <w:color w:val="FF0000"/>
          <w:sz w:val="24"/>
          <w:szCs w:val="24"/>
        </w:rPr>
        <w:t xml:space="preserve"> that the district court judge, in his or her good judgment, make the assessment of what is a reasonable fee under the circumstances of the case.” </w:t>
      </w:r>
      <w:r>
        <w:rPr>
          <w:rFonts w:cstheme="minorHAnsi"/>
          <w:sz w:val="24"/>
          <w:szCs w:val="24"/>
        </w:rPr>
        <w:t>(96)</w:t>
      </w:r>
    </w:p>
    <w:p w:rsidR="003104E8" w:rsidRPr="0068019B" w:rsidRDefault="003104E8" w:rsidP="0068019B">
      <w:pPr>
        <w:pStyle w:val="ListParagraph"/>
        <w:numPr>
          <w:ilvl w:val="0"/>
          <w:numId w:val="7"/>
        </w:numPr>
        <w:spacing w:after="0"/>
        <w:rPr>
          <w:b/>
          <w:sz w:val="24"/>
          <w:szCs w:val="24"/>
        </w:rPr>
      </w:pPr>
      <w:r>
        <w:rPr>
          <w:rFonts w:cstheme="minorHAnsi"/>
          <w:sz w:val="24"/>
          <w:szCs w:val="24"/>
        </w:rPr>
        <w:t>“We reserve for another day the question whether legal assistants’ fees should be included in the award.” (97)</w:t>
      </w:r>
    </w:p>
    <w:p w:rsidR="00552EC4" w:rsidRDefault="00552EC4" w:rsidP="00C87419">
      <w:pPr>
        <w:spacing w:after="0"/>
        <w:rPr>
          <w:b/>
          <w:sz w:val="24"/>
          <w:szCs w:val="24"/>
        </w:rPr>
      </w:pPr>
    </w:p>
    <w:p w:rsidR="00765A9A" w:rsidRDefault="00552EC4" w:rsidP="00C87419">
      <w:pPr>
        <w:spacing w:after="0"/>
        <w:rPr>
          <w:b/>
          <w:sz w:val="24"/>
          <w:szCs w:val="24"/>
        </w:rPr>
      </w:pPr>
      <w:r>
        <w:rPr>
          <w:b/>
          <w:sz w:val="24"/>
          <w:szCs w:val="24"/>
        </w:rPr>
        <w:t>Concurrence</w:t>
      </w:r>
      <w:r w:rsidR="003104E8">
        <w:rPr>
          <w:b/>
          <w:sz w:val="24"/>
          <w:szCs w:val="24"/>
        </w:rPr>
        <w:t xml:space="preserve"> (in part): Scalia</w:t>
      </w:r>
    </w:p>
    <w:p w:rsidR="003104E8" w:rsidRPr="003104E8" w:rsidRDefault="003104E8" w:rsidP="003104E8">
      <w:pPr>
        <w:pStyle w:val="ListParagraph"/>
        <w:numPr>
          <w:ilvl w:val="0"/>
          <w:numId w:val="7"/>
        </w:numPr>
        <w:spacing w:after="0"/>
        <w:rPr>
          <w:sz w:val="24"/>
          <w:szCs w:val="24"/>
        </w:rPr>
      </w:pPr>
      <w:r>
        <w:rPr>
          <w:sz w:val="24"/>
          <w:szCs w:val="24"/>
        </w:rPr>
        <w:t>Thinks analysis of court cases mixed up holdings and dicta, and that it didn’t do much good to look at the legislative history</w:t>
      </w:r>
      <w:r w:rsidR="008F2846">
        <w:rPr>
          <w:sz w:val="24"/>
          <w:szCs w:val="24"/>
        </w:rPr>
        <w:t xml:space="preserve"> as authoritative</w:t>
      </w:r>
      <w:r>
        <w:rPr>
          <w:sz w:val="24"/>
          <w:szCs w:val="24"/>
        </w:rPr>
        <w:t>, since what legislators have time to read the case law, let alone the report?</w:t>
      </w:r>
    </w:p>
    <w:p w:rsidR="008E590A" w:rsidRDefault="008E590A" w:rsidP="00C87419">
      <w:pPr>
        <w:spacing w:after="0"/>
        <w:rPr>
          <w:b/>
          <w:sz w:val="24"/>
          <w:szCs w:val="24"/>
        </w:rPr>
      </w:pPr>
    </w:p>
    <w:sectPr w:rsidR="008E590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553B" w:rsidRDefault="0064553B" w:rsidP="00E16E68">
      <w:pPr>
        <w:spacing w:after="0" w:line="240" w:lineRule="auto"/>
      </w:pPr>
      <w:r>
        <w:separator/>
      </w:r>
    </w:p>
  </w:endnote>
  <w:endnote w:type="continuationSeparator" w:id="0">
    <w:p w:rsidR="0064553B" w:rsidRDefault="0064553B"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553B" w:rsidRDefault="0064553B" w:rsidP="00E16E68">
      <w:pPr>
        <w:spacing w:after="0" w:line="240" w:lineRule="auto"/>
      </w:pPr>
      <w:r>
        <w:separator/>
      </w:r>
    </w:p>
  </w:footnote>
  <w:footnote w:type="continuationSeparator" w:id="0">
    <w:p w:rsidR="0064553B" w:rsidRDefault="0064553B"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757CDB">
    <w:pPr>
      <w:pStyle w:val="Header"/>
      <w:jc w:val="right"/>
    </w:pPr>
    <w:r>
      <w:t>US</w:t>
    </w:r>
    <w:r w:rsidR="0016476D">
      <w:t xml:space="preserve"> </w:t>
    </w:r>
    <w:r w:rsidR="007D1AC2">
      <w:t>Supreme</w:t>
    </w:r>
    <w:r w:rsidR="0016476D">
      <w:t xml:space="preserve"> Court</w:t>
    </w:r>
    <w:r w:rsidR="00E16E68">
      <w:tab/>
    </w:r>
    <w:r w:rsidR="00C35509">
      <w:t>1989</w:t>
    </w:r>
    <w:r w:rsidR="00E16E68">
      <w:tab/>
    </w:r>
    <w:r w:rsidR="00C35509">
      <w:t>Blanchard v. Bergeron</w:t>
    </w:r>
  </w:p>
  <w:p w:rsidR="00552EC4" w:rsidRDefault="00552EC4" w:rsidP="00552EC4">
    <w:pPr>
      <w:pStyle w:val="Header"/>
      <w:jc w:val="right"/>
    </w:pPr>
    <w:r>
      <w:tab/>
    </w:r>
    <w:r>
      <w:tab/>
    </w:r>
    <w:r w:rsidR="00C35509">
      <w:t>ATTORNEY FEE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9867F5"/>
    <w:multiLevelType w:val="hybridMultilevel"/>
    <w:tmpl w:val="112E7904"/>
    <w:lvl w:ilvl="0" w:tplc="B3160AC8">
      <w:start w:val="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52235B"/>
    <w:multiLevelType w:val="hybridMultilevel"/>
    <w:tmpl w:val="CF769AB8"/>
    <w:lvl w:ilvl="0" w:tplc="6716516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1D20DB7"/>
    <w:multiLevelType w:val="hybridMultilevel"/>
    <w:tmpl w:val="6188385A"/>
    <w:lvl w:ilvl="0" w:tplc="CA88803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C43981"/>
    <w:multiLevelType w:val="hybridMultilevel"/>
    <w:tmpl w:val="C0BC94D6"/>
    <w:lvl w:ilvl="0" w:tplc="A1D273B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98048A"/>
    <w:multiLevelType w:val="hybridMultilevel"/>
    <w:tmpl w:val="45A67034"/>
    <w:lvl w:ilvl="0" w:tplc="8364034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45418D3"/>
    <w:multiLevelType w:val="hybridMultilevel"/>
    <w:tmpl w:val="0A8CEAF0"/>
    <w:lvl w:ilvl="0" w:tplc="1BC46ED2">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0"/>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54BBC"/>
    <w:rsid w:val="00107F97"/>
    <w:rsid w:val="00144D3B"/>
    <w:rsid w:val="0016476D"/>
    <w:rsid w:val="0018413D"/>
    <w:rsid w:val="001A00BE"/>
    <w:rsid w:val="001B0867"/>
    <w:rsid w:val="001D065C"/>
    <w:rsid w:val="001D38B2"/>
    <w:rsid w:val="003072AC"/>
    <w:rsid w:val="003104E8"/>
    <w:rsid w:val="00330BB8"/>
    <w:rsid w:val="00457D27"/>
    <w:rsid w:val="0047660B"/>
    <w:rsid w:val="00552EC4"/>
    <w:rsid w:val="005878D6"/>
    <w:rsid w:val="005C7A1D"/>
    <w:rsid w:val="00617BC1"/>
    <w:rsid w:val="006309A8"/>
    <w:rsid w:val="0064553B"/>
    <w:rsid w:val="0068019B"/>
    <w:rsid w:val="006C7E74"/>
    <w:rsid w:val="00757CDB"/>
    <w:rsid w:val="00765A9A"/>
    <w:rsid w:val="007A2FA8"/>
    <w:rsid w:val="007A3638"/>
    <w:rsid w:val="007D1AC2"/>
    <w:rsid w:val="007D2BFF"/>
    <w:rsid w:val="007D3F07"/>
    <w:rsid w:val="008359AB"/>
    <w:rsid w:val="008558E2"/>
    <w:rsid w:val="008A41F9"/>
    <w:rsid w:val="008E590A"/>
    <w:rsid w:val="008E5B66"/>
    <w:rsid w:val="008F2846"/>
    <w:rsid w:val="008F58FB"/>
    <w:rsid w:val="0091571C"/>
    <w:rsid w:val="009917BC"/>
    <w:rsid w:val="009C1CD4"/>
    <w:rsid w:val="00A13E0B"/>
    <w:rsid w:val="00A35FD3"/>
    <w:rsid w:val="00A36433"/>
    <w:rsid w:val="00A41AD0"/>
    <w:rsid w:val="00A65C5C"/>
    <w:rsid w:val="00A71E2C"/>
    <w:rsid w:val="00AD15A3"/>
    <w:rsid w:val="00B327BA"/>
    <w:rsid w:val="00B330E3"/>
    <w:rsid w:val="00B54810"/>
    <w:rsid w:val="00B564E2"/>
    <w:rsid w:val="00B605C1"/>
    <w:rsid w:val="00B667F9"/>
    <w:rsid w:val="00B778D1"/>
    <w:rsid w:val="00B8320A"/>
    <w:rsid w:val="00BD414C"/>
    <w:rsid w:val="00C04809"/>
    <w:rsid w:val="00C05F23"/>
    <w:rsid w:val="00C35509"/>
    <w:rsid w:val="00C87419"/>
    <w:rsid w:val="00CB1792"/>
    <w:rsid w:val="00CC3AFE"/>
    <w:rsid w:val="00CC7EEE"/>
    <w:rsid w:val="00CD13DF"/>
    <w:rsid w:val="00CD6DF7"/>
    <w:rsid w:val="00D66735"/>
    <w:rsid w:val="00DE5C98"/>
    <w:rsid w:val="00E16E68"/>
    <w:rsid w:val="00E2134E"/>
    <w:rsid w:val="00E82BBB"/>
    <w:rsid w:val="00EA12E3"/>
    <w:rsid w:val="00EF4AB2"/>
    <w:rsid w:val="00F14E4A"/>
    <w:rsid w:val="00F86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793</Words>
  <Characters>4523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dcterms:created xsi:type="dcterms:W3CDTF">2019-06-01T22:24:00Z</dcterms:created>
  <dcterms:modified xsi:type="dcterms:W3CDTF">2019-06-01T22:28:00Z</dcterms:modified>
</cp:coreProperties>
</file>