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rsidR="00C87419" w:rsidRDefault="00C87419" w:rsidP="00C87419">
      <w:pPr>
        <w:spacing w:after="0"/>
        <w:jc w:val="center"/>
        <w:rPr>
          <w:b/>
          <w:sz w:val="24"/>
          <w:szCs w:val="24"/>
        </w:rPr>
      </w:pPr>
    </w:p>
    <w:p w:rsidR="00757CDB" w:rsidRPr="00AD43F6" w:rsidRDefault="00E16E68" w:rsidP="00C87419">
      <w:pPr>
        <w:spacing w:after="0"/>
        <w:rPr>
          <w:sz w:val="24"/>
          <w:szCs w:val="24"/>
        </w:rPr>
      </w:pPr>
      <w:r>
        <w:rPr>
          <w:b/>
          <w:sz w:val="24"/>
          <w:szCs w:val="24"/>
        </w:rPr>
        <w:t>Case:</w:t>
      </w:r>
      <w:r w:rsidR="008E5B66">
        <w:rPr>
          <w:b/>
          <w:sz w:val="24"/>
          <w:szCs w:val="24"/>
        </w:rPr>
        <w:tab/>
      </w:r>
      <w:r w:rsidR="00AD43F6">
        <w:rPr>
          <w:i/>
          <w:sz w:val="24"/>
          <w:szCs w:val="24"/>
        </w:rPr>
        <w:t>Blum v. Stenson</w:t>
      </w:r>
      <w:r w:rsidR="00AD43F6">
        <w:rPr>
          <w:sz w:val="24"/>
          <w:szCs w:val="24"/>
        </w:rPr>
        <w:t>, 465 U.S. 886, 104 S. Ct. 1541, 79 L.Ed.2d891</w:t>
      </w:r>
    </w:p>
    <w:p w:rsidR="00E16E68" w:rsidRPr="00757CDB" w:rsidRDefault="008E5B66" w:rsidP="00C87419">
      <w:pPr>
        <w:spacing w:after="0"/>
        <w:rPr>
          <w:sz w:val="24"/>
          <w:szCs w:val="24"/>
        </w:rPr>
      </w:pPr>
      <w:r>
        <w:rPr>
          <w:b/>
          <w:sz w:val="24"/>
          <w:szCs w:val="24"/>
        </w:rPr>
        <w:t>Date:</w:t>
      </w:r>
      <w:r>
        <w:rPr>
          <w:b/>
          <w:sz w:val="24"/>
          <w:szCs w:val="24"/>
        </w:rPr>
        <w:tab/>
      </w:r>
      <w:r w:rsidR="00AD43F6">
        <w:rPr>
          <w:sz w:val="24"/>
          <w:szCs w:val="24"/>
        </w:rPr>
        <w:t>March 21, 1984</w:t>
      </w:r>
      <w:r w:rsidR="00A65C5C">
        <w:rPr>
          <w:b/>
          <w:sz w:val="24"/>
          <w:szCs w:val="24"/>
        </w:rPr>
        <w:tab/>
      </w:r>
      <w:r w:rsidR="00A65C5C">
        <w:rPr>
          <w:b/>
          <w:sz w:val="24"/>
          <w:szCs w:val="24"/>
        </w:rPr>
        <w:tab/>
      </w:r>
      <w:r w:rsidR="00A65C5C">
        <w:rPr>
          <w:b/>
          <w:sz w:val="24"/>
          <w:szCs w:val="24"/>
        </w:rPr>
        <w:tab/>
      </w:r>
      <w:r>
        <w:rPr>
          <w:b/>
          <w:sz w:val="24"/>
          <w:szCs w:val="24"/>
        </w:rPr>
        <w:t>Votes:</w:t>
      </w:r>
      <w:r w:rsidR="00757CDB">
        <w:rPr>
          <w:sz w:val="24"/>
          <w:szCs w:val="24"/>
        </w:rPr>
        <w:t xml:space="preserve"> </w:t>
      </w:r>
      <w:r w:rsidR="00D2368C">
        <w:rPr>
          <w:sz w:val="24"/>
          <w:szCs w:val="24"/>
        </w:rPr>
        <w:t>Unanimous (Burger Court)</w:t>
      </w:r>
    </w:p>
    <w:p w:rsidR="00C87419" w:rsidRDefault="00C87419" w:rsidP="00C87419">
      <w:pPr>
        <w:spacing w:after="0"/>
        <w:rPr>
          <w:b/>
          <w:sz w:val="24"/>
          <w:szCs w:val="24"/>
        </w:rPr>
      </w:pPr>
    </w:p>
    <w:p w:rsidR="00E16E68" w:rsidRPr="00757CDB" w:rsidRDefault="008E5B66" w:rsidP="00C87419">
      <w:pPr>
        <w:spacing w:after="0"/>
        <w:rPr>
          <w:sz w:val="24"/>
          <w:szCs w:val="24"/>
        </w:rPr>
      </w:pPr>
      <w:r>
        <w:rPr>
          <w:b/>
          <w:sz w:val="24"/>
          <w:szCs w:val="24"/>
        </w:rPr>
        <w:t>Opinion</w:t>
      </w:r>
      <w:r w:rsidR="00E16E68">
        <w:rPr>
          <w:b/>
          <w:sz w:val="24"/>
          <w:szCs w:val="24"/>
        </w:rPr>
        <w:t>:</w:t>
      </w:r>
      <w:r w:rsidR="00AD43F6">
        <w:rPr>
          <w:sz w:val="24"/>
          <w:szCs w:val="24"/>
        </w:rPr>
        <w:t xml:space="preserve"> Powell</w:t>
      </w:r>
      <w:r w:rsidR="00757CDB">
        <w:rPr>
          <w:b/>
          <w:sz w:val="24"/>
          <w:szCs w:val="24"/>
        </w:rPr>
        <w:tab/>
      </w:r>
      <w:r w:rsidR="00757CDB">
        <w:rPr>
          <w:b/>
          <w:sz w:val="24"/>
          <w:szCs w:val="24"/>
        </w:rPr>
        <w:tab/>
      </w:r>
      <w:r w:rsidR="00757CDB">
        <w:rPr>
          <w:b/>
          <w:sz w:val="24"/>
          <w:szCs w:val="24"/>
        </w:rPr>
        <w:tab/>
      </w:r>
      <w:r w:rsidR="00AD43F6">
        <w:rPr>
          <w:b/>
          <w:sz w:val="24"/>
          <w:szCs w:val="24"/>
        </w:rPr>
        <w:t>Concurrence</w:t>
      </w:r>
      <w:r w:rsidR="00757CDB">
        <w:rPr>
          <w:b/>
          <w:sz w:val="24"/>
          <w:szCs w:val="24"/>
        </w:rPr>
        <w:t>:</w:t>
      </w:r>
      <w:r w:rsidR="00AD43F6">
        <w:rPr>
          <w:sz w:val="24"/>
          <w:szCs w:val="24"/>
        </w:rPr>
        <w:t xml:space="preserve"> Brennan</w:t>
      </w:r>
      <w:r w:rsidR="00757CDB">
        <w:rPr>
          <w:b/>
          <w:sz w:val="24"/>
          <w:szCs w:val="24"/>
        </w:rPr>
        <w:t xml:space="preserve"> </w:t>
      </w:r>
    </w:p>
    <w:p w:rsidR="00C87419" w:rsidRDefault="00C87419" w:rsidP="00C87419">
      <w:pPr>
        <w:spacing w:after="0"/>
        <w:rPr>
          <w:b/>
          <w:sz w:val="24"/>
          <w:szCs w:val="24"/>
        </w:rPr>
      </w:pPr>
    </w:p>
    <w:p w:rsidR="00E16E68" w:rsidRPr="00AD43F6" w:rsidRDefault="00E16E68" w:rsidP="00C87419">
      <w:pPr>
        <w:spacing w:after="0"/>
        <w:rPr>
          <w:sz w:val="24"/>
          <w:szCs w:val="24"/>
        </w:rPr>
      </w:pPr>
      <w:r>
        <w:rPr>
          <w:b/>
          <w:sz w:val="24"/>
          <w:szCs w:val="24"/>
        </w:rPr>
        <w:t>Tags:</w:t>
      </w:r>
      <w:r w:rsidR="00757CDB">
        <w:rPr>
          <w:sz w:val="24"/>
          <w:szCs w:val="24"/>
        </w:rPr>
        <w:t xml:space="preserve"> </w:t>
      </w:r>
      <w:r w:rsidR="00AD43F6">
        <w:rPr>
          <w:sz w:val="24"/>
          <w:szCs w:val="24"/>
        </w:rPr>
        <w:t xml:space="preserve">attorney fees, civil rights action, fee adjustment, Lodestar, </w:t>
      </w:r>
      <w:r w:rsidR="00AD43F6">
        <w:rPr>
          <w:i/>
          <w:sz w:val="24"/>
          <w:szCs w:val="24"/>
        </w:rPr>
        <w:t>Johnson</w:t>
      </w:r>
      <w:r w:rsidR="00AD43F6">
        <w:rPr>
          <w:sz w:val="24"/>
          <w:szCs w:val="24"/>
        </w:rPr>
        <w:t xml:space="preserve"> factors, market rate, public interest law</w:t>
      </w:r>
    </w:p>
    <w:p w:rsidR="00C87419" w:rsidRDefault="00C87419" w:rsidP="00C87419">
      <w:pPr>
        <w:spacing w:after="0"/>
        <w:rPr>
          <w:b/>
          <w:sz w:val="24"/>
          <w:szCs w:val="24"/>
        </w:rPr>
      </w:pPr>
    </w:p>
    <w:p w:rsidR="00AD43F6" w:rsidRDefault="008E5B66" w:rsidP="00C87419">
      <w:pPr>
        <w:spacing w:after="0"/>
        <w:rPr>
          <w:sz w:val="24"/>
          <w:szCs w:val="24"/>
        </w:rPr>
      </w:pPr>
      <w:r>
        <w:rPr>
          <w:b/>
          <w:sz w:val="24"/>
          <w:szCs w:val="24"/>
        </w:rPr>
        <w:t>Question(s) Presented</w:t>
      </w:r>
      <w:r w:rsidR="00E16E68">
        <w:rPr>
          <w:b/>
          <w:sz w:val="24"/>
          <w:szCs w:val="24"/>
        </w:rPr>
        <w:t>:</w:t>
      </w:r>
      <w:r w:rsidR="00757CDB">
        <w:rPr>
          <w:sz w:val="24"/>
          <w:szCs w:val="24"/>
        </w:rPr>
        <w:t xml:space="preserve"> </w:t>
      </w:r>
    </w:p>
    <w:p w:rsidR="00E16E68" w:rsidRDefault="00AD43F6" w:rsidP="00AD43F6">
      <w:pPr>
        <w:pStyle w:val="ListParagraph"/>
        <w:numPr>
          <w:ilvl w:val="0"/>
          <w:numId w:val="3"/>
        </w:numPr>
        <w:spacing w:after="0"/>
        <w:rPr>
          <w:sz w:val="24"/>
          <w:szCs w:val="24"/>
        </w:rPr>
      </w:pPr>
      <w:r w:rsidRPr="00AD43F6">
        <w:rPr>
          <w:sz w:val="24"/>
          <w:szCs w:val="24"/>
        </w:rPr>
        <w:t>Was the District Court’s award of attorney fees according to prevailing market rates reasonable, even though attorneys were public interest and actual costs were less?</w:t>
      </w:r>
    </w:p>
    <w:p w:rsidR="00AD43F6" w:rsidRPr="00AD43F6" w:rsidRDefault="00AD43F6" w:rsidP="00AD43F6">
      <w:pPr>
        <w:pStyle w:val="ListParagraph"/>
        <w:numPr>
          <w:ilvl w:val="0"/>
          <w:numId w:val="3"/>
        </w:numPr>
        <w:spacing w:after="0"/>
        <w:rPr>
          <w:sz w:val="24"/>
          <w:szCs w:val="24"/>
        </w:rPr>
      </w:pPr>
      <w:r>
        <w:rPr>
          <w:sz w:val="24"/>
          <w:szCs w:val="24"/>
        </w:rPr>
        <w:t>Is it ever proper to adjust such an award upward, and if so, when?</w:t>
      </w:r>
    </w:p>
    <w:p w:rsidR="00C87419" w:rsidRDefault="00C87419" w:rsidP="00C87419">
      <w:pPr>
        <w:spacing w:after="0"/>
        <w:rPr>
          <w:b/>
          <w:sz w:val="24"/>
          <w:szCs w:val="24"/>
        </w:rPr>
      </w:pPr>
    </w:p>
    <w:p w:rsidR="00AD43F6" w:rsidRDefault="00E16E68" w:rsidP="00C87419">
      <w:pPr>
        <w:spacing w:after="0"/>
        <w:rPr>
          <w:sz w:val="24"/>
          <w:szCs w:val="24"/>
        </w:rPr>
      </w:pPr>
      <w:r>
        <w:rPr>
          <w:b/>
          <w:sz w:val="24"/>
          <w:szCs w:val="24"/>
        </w:rPr>
        <w:t>Holdings:</w:t>
      </w:r>
      <w:r w:rsidR="00CC7EEE">
        <w:rPr>
          <w:sz w:val="24"/>
          <w:szCs w:val="24"/>
        </w:rPr>
        <w:t xml:space="preserve"> </w:t>
      </w:r>
    </w:p>
    <w:p w:rsidR="00E16E68" w:rsidRDefault="00AD43F6" w:rsidP="00AD43F6">
      <w:pPr>
        <w:pStyle w:val="ListParagraph"/>
        <w:numPr>
          <w:ilvl w:val="0"/>
          <w:numId w:val="4"/>
        </w:numPr>
        <w:spacing w:after="0"/>
        <w:rPr>
          <w:sz w:val="24"/>
          <w:szCs w:val="24"/>
        </w:rPr>
      </w:pPr>
      <w:r w:rsidRPr="00AD43F6">
        <w:rPr>
          <w:sz w:val="24"/>
          <w:szCs w:val="24"/>
        </w:rPr>
        <w:t>“Reasonable fees” = “calculated according to the prevailing market rates in the relevant community, not according to the cost of providing legal services, regardless of whether the prevailing party is represented by private profit-making attorneys or nonprofit legal aid organizations.” (syll. 1543)</w:t>
      </w:r>
    </w:p>
    <w:p w:rsidR="00AD43F6" w:rsidRPr="00AD43F6" w:rsidRDefault="00AD43F6" w:rsidP="00AD43F6">
      <w:pPr>
        <w:pStyle w:val="ListParagraph"/>
        <w:spacing w:after="0"/>
        <w:rPr>
          <w:sz w:val="24"/>
          <w:szCs w:val="24"/>
        </w:rPr>
      </w:pPr>
    </w:p>
    <w:p w:rsidR="00AD43F6" w:rsidRDefault="00AD43F6" w:rsidP="00C87419">
      <w:pPr>
        <w:pStyle w:val="ListParagraph"/>
        <w:numPr>
          <w:ilvl w:val="0"/>
          <w:numId w:val="4"/>
        </w:numPr>
        <w:spacing w:after="0"/>
        <w:rPr>
          <w:sz w:val="24"/>
          <w:szCs w:val="24"/>
        </w:rPr>
      </w:pPr>
      <w:r w:rsidRPr="00AD43F6">
        <w:rPr>
          <w:sz w:val="24"/>
          <w:szCs w:val="24"/>
        </w:rPr>
        <w:t>District Court should not have awarded 50% upward adjustment of legal fees</w:t>
      </w:r>
      <w:r>
        <w:rPr>
          <w:sz w:val="24"/>
          <w:szCs w:val="24"/>
        </w:rPr>
        <w:t xml:space="preserve">. </w:t>
      </w:r>
    </w:p>
    <w:p w:rsidR="00AD43F6" w:rsidRDefault="00AD43F6" w:rsidP="00AD43F6">
      <w:pPr>
        <w:pStyle w:val="ListParagraph"/>
        <w:numPr>
          <w:ilvl w:val="1"/>
          <w:numId w:val="4"/>
        </w:numPr>
        <w:spacing w:after="0"/>
        <w:rPr>
          <w:sz w:val="24"/>
          <w:szCs w:val="24"/>
        </w:rPr>
      </w:pPr>
      <w:r>
        <w:rPr>
          <w:sz w:val="24"/>
          <w:szCs w:val="24"/>
        </w:rPr>
        <w:t>Don’t do this for complexity of case: that’s reflected in the hours.</w:t>
      </w:r>
    </w:p>
    <w:p w:rsidR="00AD43F6" w:rsidRDefault="00AD43F6" w:rsidP="00AD43F6">
      <w:pPr>
        <w:pStyle w:val="ListParagraph"/>
        <w:numPr>
          <w:ilvl w:val="1"/>
          <w:numId w:val="4"/>
        </w:numPr>
        <w:spacing w:after="0"/>
        <w:rPr>
          <w:sz w:val="24"/>
          <w:szCs w:val="24"/>
        </w:rPr>
      </w:pPr>
      <w:r>
        <w:rPr>
          <w:sz w:val="24"/>
          <w:szCs w:val="24"/>
        </w:rPr>
        <w:t>Don’t do this for ability of the lawyer: that’s reflected in the rate.</w:t>
      </w:r>
    </w:p>
    <w:p w:rsidR="00AD43F6" w:rsidRPr="00AD43F6" w:rsidRDefault="00AD43F6" w:rsidP="00AD43F6">
      <w:pPr>
        <w:pStyle w:val="ListParagraph"/>
        <w:numPr>
          <w:ilvl w:val="1"/>
          <w:numId w:val="4"/>
        </w:numPr>
        <w:spacing w:after="0"/>
        <w:rPr>
          <w:sz w:val="24"/>
          <w:szCs w:val="24"/>
        </w:rPr>
      </w:pPr>
      <w:r>
        <w:rPr>
          <w:sz w:val="24"/>
          <w:szCs w:val="24"/>
        </w:rPr>
        <w:t>Don’t do this for “results obtained,” because that’s incorporated in the Lodestar too.</w:t>
      </w:r>
    </w:p>
    <w:p w:rsidR="00AD43F6" w:rsidRDefault="00AD43F6" w:rsidP="00AD43F6">
      <w:pPr>
        <w:pStyle w:val="ListParagraph"/>
        <w:numPr>
          <w:ilvl w:val="1"/>
          <w:numId w:val="4"/>
        </w:numPr>
        <w:spacing w:after="0"/>
        <w:rPr>
          <w:sz w:val="24"/>
          <w:szCs w:val="24"/>
        </w:rPr>
      </w:pPr>
      <w:r>
        <w:rPr>
          <w:sz w:val="24"/>
          <w:szCs w:val="24"/>
        </w:rPr>
        <w:t>If you’re going to argue for upward adjustment, you’d better make a really good case.</w:t>
      </w:r>
    </w:p>
    <w:p w:rsidR="00A65C5C" w:rsidRDefault="00AD43F6" w:rsidP="00AD43F6">
      <w:pPr>
        <w:pStyle w:val="ListParagraph"/>
        <w:spacing w:after="0"/>
        <w:ind w:left="1440"/>
        <w:rPr>
          <w:sz w:val="24"/>
          <w:szCs w:val="24"/>
        </w:rPr>
      </w:pPr>
      <w:r w:rsidRPr="00AD43F6">
        <w:rPr>
          <w:sz w:val="24"/>
          <w:szCs w:val="24"/>
        </w:rPr>
        <w:t xml:space="preserve"> </w:t>
      </w:r>
    </w:p>
    <w:p w:rsidR="00AD43F6" w:rsidRPr="00AD43F6" w:rsidRDefault="00AD43F6" w:rsidP="00AD43F6">
      <w:pPr>
        <w:pStyle w:val="ListParagraph"/>
        <w:numPr>
          <w:ilvl w:val="0"/>
          <w:numId w:val="4"/>
        </w:numPr>
        <w:spacing w:after="0"/>
        <w:rPr>
          <w:sz w:val="24"/>
          <w:szCs w:val="24"/>
        </w:rPr>
      </w:pPr>
      <w:r>
        <w:rPr>
          <w:sz w:val="24"/>
          <w:szCs w:val="24"/>
        </w:rPr>
        <w:t>“On this record, we conclude that the fee of $79,312 was ‘fully compensatory.’ Accordingly, the judgment below is reversed only insofar as the fee award was increased by the sum of $39,656.” (902)</w:t>
      </w:r>
    </w:p>
    <w:p w:rsidR="00AD43F6" w:rsidRPr="00AD43F6" w:rsidRDefault="00AD43F6" w:rsidP="00AD43F6">
      <w:pPr>
        <w:pStyle w:val="ListParagraph"/>
        <w:spacing w:after="0"/>
        <w:rPr>
          <w:sz w:val="24"/>
          <w:szCs w:val="24"/>
        </w:rPr>
      </w:pPr>
    </w:p>
    <w:p w:rsidR="00A65C5C" w:rsidRDefault="00A65C5C" w:rsidP="00C87419">
      <w:pPr>
        <w:spacing w:after="0"/>
        <w:rPr>
          <w:b/>
          <w:sz w:val="24"/>
          <w:szCs w:val="24"/>
        </w:rPr>
      </w:pPr>
      <w:r>
        <w:rPr>
          <w:b/>
          <w:sz w:val="24"/>
          <w:szCs w:val="24"/>
        </w:rPr>
        <w:t>Rationale:</w:t>
      </w:r>
    </w:p>
    <w:p w:rsidR="00AD43F6" w:rsidRDefault="00AD43F6" w:rsidP="00AD43F6">
      <w:pPr>
        <w:pStyle w:val="ListParagraph"/>
        <w:numPr>
          <w:ilvl w:val="0"/>
          <w:numId w:val="8"/>
        </w:numPr>
        <w:spacing w:after="0"/>
        <w:rPr>
          <w:sz w:val="24"/>
          <w:szCs w:val="24"/>
        </w:rPr>
      </w:pPr>
      <w:r>
        <w:rPr>
          <w:sz w:val="24"/>
          <w:szCs w:val="24"/>
        </w:rPr>
        <w:t>Legislative history says not to shortchange legal aid and pro bono attorneys.</w:t>
      </w:r>
    </w:p>
    <w:p w:rsidR="00AD43F6" w:rsidRPr="00AD43F6" w:rsidRDefault="00AD43F6" w:rsidP="00AD43F6">
      <w:pPr>
        <w:pStyle w:val="ListParagraph"/>
        <w:numPr>
          <w:ilvl w:val="0"/>
          <w:numId w:val="8"/>
        </w:numPr>
        <w:spacing w:after="0"/>
        <w:rPr>
          <w:sz w:val="24"/>
          <w:szCs w:val="24"/>
        </w:rPr>
      </w:pPr>
      <w:r>
        <w:rPr>
          <w:sz w:val="24"/>
          <w:szCs w:val="24"/>
        </w:rPr>
        <w:t>Adjustment upward is sometimes appropriate in exceptional cases, but respondent didn’t meet the burden for it this time.</w:t>
      </w:r>
    </w:p>
    <w:p w:rsidR="00C87419" w:rsidRDefault="00C87419" w:rsidP="00C87419">
      <w:pPr>
        <w:spacing w:after="0"/>
        <w:rPr>
          <w:b/>
          <w:sz w:val="24"/>
          <w:szCs w:val="24"/>
        </w:rPr>
      </w:pPr>
    </w:p>
    <w:p w:rsidR="008E5B66" w:rsidRDefault="008E5B66" w:rsidP="008E5B66">
      <w:pPr>
        <w:spacing w:after="0"/>
        <w:rPr>
          <w:sz w:val="24"/>
          <w:szCs w:val="24"/>
        </w:rPr>
      </w:pPr>
      <w:r>
        <w:rPr>
          <w:b/>
          <w:sz w:val="24"/>
          <w:szCs w:val="24"/>
        </w:rPr>
        <w:t>Facts:</w:t>
      </w:r>
      <w:r w:rsidR="00AD43F6">
        <w:rPr>
          <w:sz w:val="24"/>
          <w:szCs w:val="24"/>
        </w:rPr>
        <w:t xml:space="preserve"> Successful civil rights case challenging termination of Medicaid benefits conducted by Legal Aid Society of NY. Award for attorney fees included 809 hours of work at rates from $95-$105, plus 50% bonus adjustment up because of complexity of case, novelty of issues, and benefit achieved for class.</w:t>
      </w:r>
    </w:p>
    <w:p w:rsidR="00AD43F6" w:rsidRDefault="00AD43F6" w:rsidP="008E5B66">
      <w:pPr>
        <w:spacing w:after="0"/>
        <w:rPr>
          <w:sz w:val="24"/>
          <w:szCs w:val="24"/>
        </w:rPr>
      </w:pPr>
    </w:p>
    <w:p w:rsidR="00AD43F6" w:rsidRPr="00AD43F6" w:rsidRDefault="00AD43F6" w:rsidP="008E5B66">
      <w:pPr>
        <w:spacing w:after="0"/>
        <w:rPr>
          <w:sz w:val="24"/>
          <w:szCs w:val="24"/>
        </w:rPr>
      </w:pPr>
    </w:p>
    <w:p w:rsidR="008E5B66" w:rsidRDefault="008E5B66" w:rsidP="00C87419">
      <w:pPr>
        <w:spacing w:after="0"/>
        <w:rPr>
          <w:b/>
          <w:sz w:val="24"/>
          <w:szCs w:val="24"/>
        </w:rPr>
      </w:pPr>
    </w:p>
    <w:p w:rsidR="009917BC" w:rsidRDefault="00757CDB" w:rsidP="00C87419">
      <w:pPr>
        <w:spacing w:after="0"/>
        <w:rPr>
          <w:b/>
          <w:sz w:val="24"/>
          <w:szCs w:val="24"/>
        </w:rPr>
      </w:pPr>
      <w:r>
        <w:rPr>
          <w:b/>
          <w:sz w:val="24"/>
          <w:szCs w:val="24"/>
        </w:rPr>
        <w:lastRenderedPageBreak/>
        <w:t xml:space="preserve">Legal </w:t>
      </w:r>
      <w:r w:rsidR="009917BC">
        <w:rPr>
          <w:b/>
          <w:sz w:val="24"/>
          <w:szCs w:val="24"/>
        </w:rPr>
        <w:t>History, Prior Appeals &amp; Trial Court Input:</w:t>
      </w:r>
    </w:p>
    <w:p w:rsidR="00AD43F6" w:rsidRDefault="00AD43F6" w:rsidP="00AD43F6">
      <w:pPr>
        <w:pStyle w:val="ListParagraph"/>
        <w:numPr>
          <w:ilvl w:val="0"/>
          <w:numId w:val="5"/>
        </w:numPr>
        <w:spacing w:after="0"/>
        <w:rPr>
          <w:sz w:val="24"/>
          <w:szCs w:val="24"/>
        </w:rPr>
      </w:pPr>
      <w:r>
        <w:rPr>
          <w:sz w:val="24"/>
          <w:szCs w:val="24"/>
        </w:rPr>
        <w:t>District Court approved attorney fee request.</w:t>
      </w:r>
    </w:p>
    <w:p w:rsidR="00AD43F6" w:rsidRPr="00AD43F6" w:rsidRDefault="00AD43F6" w:rsidP="00AD43F6">
      <w:pPr>
        <w:pStyle w:val="ListParagraph"/>
        <w:numPr>
          <w:ilvl w:val="0"/>
          <w:numId w:val="5"/>
        </w:numPr>
        <w:spacing w:after="0"/>
        <w:rPr>
          <w:sz w:val="24"/>
          <w:szCs w:val="24"/>
        </w:rPr>
      </w:pPr>
      <w:r>
        <w:rPr>
          <w:sz w:val="24"/>
          <w:szCs w:val="24"/>
        </w:rPr>
        <w:t>Circuit Court of Appeals affirmed.</w:t>
      </w:r>
    </w:p>
    <w:p w:rsidR="009917BC" w:rsidRDefault="009917BC" w:rsidP="008E5B66">
      <w:pPr>
        <w:spacing w:after="0"/>
        <w:rPr>
          <w:b/>
          <w:sz w:val="24"/>
          <w:szCs w:val="24"/>
        </w:rPr>
      </w:pPr>
    </w:p>
    <w:p w:rsidR="008E5B66" w:rsidRDefault="008E5B66" w:rsidP="00AD43F6">
      <w:pPr>
        <w:spacing w:after="0"/>
        <w:rPr>
          <w:b/>
          <w:sz w:val="24"/>
          <w:szCs w:val="24"/>
        </w:rPr>
      </w:pPr>
      <w:r w:rsidRPr="00AD43F6">
        <w:rPr>
          <w:b/>
          <w:sz w:val="24"/>
          <w:szCs w:val="24"/>
        </w:rPr>
        <w:t>Attorneys’ Arguments:</w:t>
      </w:r>
    </w:p>
    <w:p w:rsidR="00AD43F6" w:rsidRDefault="00AD43F6" w:rsidP="00AD43F6">
      <w:pPr>
        <w:pStyle w:val="ListParagraph"/>
        <w:numPr>
          <w:ilvl w:val="0"/>
          <w:numId w:val="5"/>
        </w:numPr>
        <w:spacing w:after="0"/>
        <w:rPr>
          <w:sz w:val="24"/>
          <w:szCs w:val="24"/>
        </w:rPr>
      </w:pPr>
      <w:r>
        <w:rPr>
          <w:sz w:val="24"/>
          <w:szCs w:val="24"/>
        </w:rPr>
        <w:t>For Petitioner: “the use of prevailing market rates to calculate attorneys fees under § 1988 leads to exorbitant fee awards and provides windfalls to civil rights counsel contrary to the express intent of Congress.” (892)</w:t>
      </w:r>
    </w:p>
    <w:p w:rsidR="00AD43F6" w:rsidRPr="00AD43F6" w:rsidRDefault="00AD43F6" w:rsidP="00AD43F6">
      <w:pPr>
        <w:pStyle w:val="ListParagraph"/>
        <w:numPr>
          <w:ilvl w:val="1"/>
          <w:numId w:val="5"/>
        </w:numPr>
        <w:spacing w:after="0"/>
        <w:rPr>
          <w:sz w:val="24"/>
          <w:szCs w:val="24"/>
        </w:rPr>
      </w:pPr>
      <w:r>
        <w:rPr>
          <w:sz w:val="24"/>
          <w:szCs w:val="24"/>
        </w:rPr>
        <w:t>Therefore, fees should be based on actual costs (such as costs for Legal Aid Society, which doesn’t have as much overhead because those lawyers work for so much less).</w:t>
      </w:r>
    </w:p>
    <w:p w:rsidR="008E5B66" w:rsidRDefault="008E5B66" w:rsidP="00C87419">
      <w:pPr>
        <w:spacing w:after="0"/>
        <w:rPr>
          <w:b/>
          <w:sz w:val="24"/>
          <w:szCs w:val="24"/>
        </w:rPr>
      </w:pPr>
    </w:p>
    <w:p w:rsidR="00C87419" w:rsidRDefault="00C87419" w:rsidP="00C87419">
      <w:pPr>
        <w:spacing w:after="0"/>
        <w:rPr>
          <w:b/>
          <w:sz w:val="24"/>
          <w:szCs w:val="24"/>
        </w:rPr>
      </w:pPr>
    </w:p>
    <w:p w:rsidR="00552EC4" w:rsidRPr="00AD43F6" w:rsidRDefault="00552EC4" w:rsidP="00AD43F6">
      <w:pPr>
        <w:spacing w:after="0"/>
        <w:rPr>
          <w:b/>
          <w:sz w:val="24"/>
          <w:szCs w:val="24"/>
        </w:rPr>
      </w:pPr>
      <w:r w:rsidRPr="00AD43F6">
        <w:rPr>
          <w:b/>
          <w:sz w:val="24"/>
          <w:szCs w:val="24"/>
        </w:rPr>
        <w:t>Appeals to Statute &amp; Precedent:</w:t>
      </w:r>
    </w:p>
    <w:p w:rsidR="00AD43F6" w:rsidRPr="00AD43F6" w:rsidRDefault="00AD43F6" w:rsidP="00AD43F6">
      <w:pPr>
        <w:pStyle w:val="ListParagraph"/>
        <w:numPr>
          <w:ilvl w:val="0"/>
          <w:numId w:val="5"/>
        </w:numPr>
        <w:spacing w:after="0"/>
        <w:rPr>
          <w:b/>
          <w:sz w:val="24"/>
          <w:szCs w:val="24"/>
        </w:rPr>
      </w:pPr>
      <w:r>
        <w:rPr>
          <w:b/>
          <w:sz w:val="24"/>
          <w:szCs w:val="24"/>
        </w:rPr>
        <w:t>Title 42 U.S.C. § 1988:</w:t>
      </w:r>
      <w:r>
        <w:rPr>
          <w:sz w:val="24"/>
          <w:szCs w:val="24"/>
        </w:rPr>
        <w:t xml:space="preserve"> </w:t>
      </w:r>
      <w:r>
        <w:rPr>
          <w:b/>
          <w:sz w:val="24"/>
          <w:szCs w:val="24"/>
        </w:rPr>
        <w:t>Civil Rights Attorney Fee Award Act</w:t>
      </w:r>
      <w:r>
        <w:rPr>
          <w:sz w:val="24"/>
          <w:szCs w:val="24"/>
        </w:rPr>
        <w:t xml:space="preserve"> (1976): “It is intended that the amount of fees awarded under this statute be governed by the same standards which prevail in other types of equally complex Federal litigation, such as antitrust cases[,] and not be reduced because the rights involved may be nonpecuniary in nature.” (Accord H.R. Rep. No. 94-1558, p.8 (1976))</w:t>
      </w:r>
    </w:p>
    <w:p w:rsidR="00AD43F6" w:rsidRPr="00AD43F6" w:rsidRDefault="00AD43F6" w:rsidP="00AD43F6">
      <w:pPr>
        <w:pStyle w:val="ListParagraph"/>
        <w:numPr>
          <w:ilvl w:val="0"/>
          <w:numId w:val="5"/>
        </w:numPr>
        <w:spacing w:after="0"/>
        <w:rPr>
          <w:b/>
          <w:sz w:val="24"/>
          <w:szCs w:val="24"/>
        </w:rPr>
      </w:pPr>
      <w:r>
        <w:rPr>
          <w:b/>
          <w:sz w:val="24"/>
          <w:szCs w:val="24"/>
        </w:rPr>
        <w:t>42 U.S.C. § 1983:</w:t>
      </w:r>
      <w:r>
        <w:rPr>
          <w:sz w:val="24"/>
          <w:szCs w:val="24"/>
        </w:rPr>
        <w:t xml:space="preserve"> Civil action for deprivation of rights</w:t>
      </w:r>
    </w:p>
    <w:p w:rsidR="00AD43F6" w:rsidRPr="00AD43F6" w:rsidRDefault="00AD43F6" w:rsidP="00AD43F6">
      <w:pPr>
        <w:pStyle w:val="ListParagraph"/>
        <w:numPr>
          <w:ilvl w:val="0"/>
          <w:numId w:val="5"/>
        </w:numPr>
        <w:spacing w:after="0"/>
        <w:rPr>
          <w:b/>
          <w:sz w:val="24"/>
          <w:szCs w:val="24"/>
        </w:rPr>
      </w:pPr>
      <w:r>
        <w:rPr>
          <w:b/>
          <w:i/>
          <w:sz w:val="24"/>
          <w:szCs w:val="24"/>
        </w:rPr>
        <w:t xml:space="preserve">Hensley v. </w:t>
      </w:r>
      <w:proofErr w:type="spellStart"/>
      <w:r>
        <w:rPr>
          <w:b/>
          <w:i/>
          <w:sz w:val="24"/>
          <w:szCs w:val="24"/>
        </w:rPr>
        <w:t>Eckerhart</w:t>
      </w:r>
      <w:proofErr w:type="spellEnd"/>
      <w:r>
        <w:rPr>
          <w:b/>
          <w:sz w:val="24"/>
          <w:szCs w:val="24"/>
        </w:rPr>
        <w:t xml:space="preserve">, 461 U.S. 424, 103 </w:t>
      </w:r>
      <w:proofErr w:type="spellStart"/>
      <w:r>
        <w:rPr>
          <w:b/>
          <w:sz w:val="24"/>
          <w:szCs w:val="24"/>
        </w:rPr>
        <w:t>S.Ct</w:t>
      </w:r>
      <w:proofErr w:type="spellEnd"/>
      <w:r>
        <w:rPr>
          <w:b/>
          <w:sz w:val="24"/>
          <w:szCs w:val="24"/>
        </w:rPr>
        <w:t xml:space="preserve">. 1933, 76 </w:t>
      </w:r>
      <w:proofErr w:type="spellStart"/>
      <w:r>
        <w:rPr>
          <w:b/>
          <w:sz w:val="24"/>
          <w:szCs w:val="24"/>
        </w:rPr>
        <w:t>L.Ed</w:t>
      </w:r>
      <w:proofErr w:type="spellEnd"/>
      <w:r>
        <w:rPr>
          <w:b/>
          <w:sz w:val="24"/>
          <w:szCs w:val="24"/>
        </w:rPr>
        <w:t>. 2d 40 (1983):</w:t>
      </w:r>
      <w:r>
        <w:rPr>
          <w:sz w:val="24"/>
          <w:szCs w:val="24"/>
        </w:rPr>
        <w:t xml:space="preserve"> calculation of reasonable attorney’s fee (reasonable hours X reasonable rate)</w:t>
      </w:r>
    </w:p>
    <w:p w:rsidR="00AD43F6" w:rsidRPr="00AD43F6" w:rsidRDefault="00AD43F6" w:rsidP="00AD43F6">
      <w:pPr>
        <w:pStyle w:val="ListParagraph"/>
        <w:numPr>
          <w:ilvl w:val="0"/>
          <w:numId w:val="5"/>
        </w:numPr>
        <w:spacing w:after="0"/>
        <w:rPr>
          <w:b/>
          <w:sz w:val="24"/>
          <w:szCs w:val="24"/>
        </w:rPr>
      </w:pPr>
      <w:r>
        <w:rPr>
          <w:b/>
          <w:i/>
          <w:sz w:val="24"/>
          <w:szCs w:val="24"/>
        </w:rPr>
        <w:t xml:space="preserve">Stanford Daily v. </w:t>
      </w:r>
      <w:proofErr w:type="spellStart"/>
      <w:r>
        <w:rPr>
          <w:b/>
          <w:i/>
          <w:sz w:val="24"/>
          <w:szCs w:val="24"/>
        </w:rPr>
        <w:t>Zurcher</w:t>
      </w:r>
      <w:proofErr w:type="spellEnd"/>
      <w:r>
        <w:rPr>
          <w:b/>
          <w:sz w:val="24"/>
          <w:szCs w:val="24"/>
        </w:rPr>
        <w:t>, 64 F.R.D. 680, 681 (N.D. Cal. 1974):</w:t>
      </w:r>
      <w:r>
        <w:rPr>
          <w:sz w:val="24"/>
          <w:szCs w:val="24"/>
        </w:rPr>
        <w:t xml:space="preserve"> calculate reasonable fees based on market rate; don’t shortchange pro bono and public interest attorneys.</w:t>
      </w:r>
    </w:p>
    <w:p w:rsidR="00AD43F6" w:rsidRPr="00AD43F6" w:rsidRDefault="00AD43F6" w:rsidP="00AD43F6">
      <w:pPr>
        <w:pStyle w:val="ListParagraph"/>
        <w:numPr>
          <w:ilvl w:val="0"/>
          <w:numId w:val="5"/>
        </w:numPr>
        <w:spacing w:after="0"/>
        <w:rPr>
          <w:b/>
          <w:sz w:val="24"/>
          <w:szCs w:val="24"/>
        </w:rPr>
      </w:pPr>
      <w:r>
        <w:rPr>
          <w:b/>
          <w:i/>
          <w:sz w:val="24"/>
          <w:szCs w:val="24"/>
        </w:rPr>
        <w:t>Davis v.</w:t>
      </w:r>
      <w:r>
        <w:rPr>
          <w:b/>
          <w:sz w:val="24"/>
          <w:szCs w:val="24"/>
        </w:rPr>
        <w:t xml:space="preserve"> </w:t>
      </w:r>
      <w:r>
        <w:rPr>
          <w:b/>
          <w:i/>
          <w:sz w:val="24"/>
          <w:szCs w:val="24"/>
        </w:rPr>
        <w:t>County of Los Angeles</w:t>
      </w:r>
      <w:r>
        <w:rPr>
          <w:b/>
          <w:sz w:val="24"/>
          <w:szCs w:val="24"/>
        </w:rPr>
        <w:t>, 8 E.P.D. 9444 (</w:t>
      </w:r>
      <w:proofErr w:type="spellStart"/>
      <w:r>
        <w:rPr>
          <w:b/>
          <w:sz w:val="24"/>
          <w:szCs w:val="24"/>
        </w:rPr>
        <w:t>C.D.Cal</w:t>
      </w:r>
      <w:proofErr w:type="spellEnd"/>
      <w:r>
        <w:rPr>
          <w:b/>
          <w:sz w:val="24"/>
          <w:szCs w:val="24"/>
        </w:rPr>
        <w:t>. 1974):</w:t>
      </w:r>
      <w:r>
        <w:rPr>
          <w:sz w:val="24"/>
          <w:szCs w:val="24"/>
        </w:rPr>
        <w:t xml:space="preserve"> “it is in the interest of the public that such law firms be awarded reasonable attorneys’ fees to be computed in the traditional manner when its counsel perform legal services otherwise entitling them to the award of attorneys’ fees.” (at 5048-5049)</w:t>
      </w:r>
    </w:p>
    <w:p w:rsidR="009917BC" w:rsidRDefault="009917BC" w:rsidP="00C87419">
      <w:pPr>
        <w:spacing w:after="0"/>
        <w:rPr>
          <w:b/>
          <w:sz w:val="24"/>
          <w:szCs w:val="24"/>
        </w:rPr>
      </w:pPr>
      <w:bookmarkStart w:id="0" w:name="_GoBack"/>
      <w:bookmarkEnd w:id="0"/>
    </w:p>
    <w:p w:rsidR="00E16E68" w:rsidRDefault="00E16E68" w:rsidP="00C87419">
      <w:pPr>
        <w:spacing w:after="0"/>
        <w:rPr>
          <w:sz w:val="24"/>
          <w:szCs w:val="24"/>
        </w:rPr>
      </w:pPr>
      <w:r>
        <w:rPr>
          <w:b/>
          <w:sz w:val="24"/>
          <w:szCs w:val="24"/>
        </w:rPr>
        <w:t>Dicta</w:t>
      </w:r>
      <w:r w:rsidR="00AD43F6">
        <w:rPr>
          <w:b/>
          <w:sz w:val="24"/>
          <w:szCs w:val="24"/>
        </w:rPr>
        <w:t>/Discussion</w:t>
      </w:r>
      <w:r>
        <w:rPr>
          <w:b/>
          <w:sz w:val="24"/>
          <w:szCs w:val="24"/>
        </w:rPr>
        <w:t>:</w:t>
      </w:r>
    </w:p>
    <w:p w:rsidR="00AD43F6" w:rsidRDefault="00AD43F6" w:rsidP="00AD43F6">
      <w:pPr>
        <w:pStyle w:val="ListParagraph"/>
        <w:numPr>
          <w:ilvl w:val="0"/>
          <w:numId w:val="6"/>
        </w:numPr>
        <w:spacing w:after="0"/>
        <w:rPr>
          <w:sz w:val="24"/>
          <w:szCs w:val="24"/>
        </w:rPr>
      </w:pPr>
      <w:r>
        <w:rPr>
          <w:sz w:val="24"/>
          <w:szCs w:val="24"/>
        </w:rPr>
        <w:t>Properly calculate attorney’s fee by multiplying reasonable hours by a reasonable hourly rate. This was Congress’s intent, as reflected in the legislative history of § 1988 (which approved outcomes of attorney fee cases that were based on market rates, not actual costs, and which included pro bono counsel).</w:t>
      </w:r>
    </w:p>
    <w:p w:rsidR="00AD43F6" w:rsidRDefault="00AD43F6" w:rsidP="00AD43F6">
      <w:pPr>
        <w:pStyle w:val="ListParagraph"/>
        <w:numPr>
          <w:ilvl w:val="0"/>
          <w:numId w:val="6"/>
        </w:numPr>
        <w:spacing w:after="0"/>
        <w:rPr>
          <w:sz w:val="24"/>
          <w:szCs w:val="24"/>
        </w:rPr>
      </w:pPr>
      <w:r>
        <w:rPr>
          <w:sz w:val="24"/>
          <w:szCs w:val="24"/>
        </w:rPr>
        <w:t>Okay to adjust as necessary in exceptional cases.</w:t>
      </w:r>
    </w:p>
    <w:p w:rsidR="00AD43F6" w:rsidRDefault="00AD43F6" w:rsidP="00AD43F6">
      <w:pPr>
        <w:pStyle w:val="ListParagraph"/>
        <w:numPr>
          <w:ilvl w:val="0"/>
          <w:numId w:val="6"/>
        </w:numPr>
        <w:spacing w:after="0"/>
        <w:rPr>
          <w:sz w:val="24"/>
          <w:szCs w:val="24"/>
        </w:rPr>
      </w:pPr>
      <w:r>
        <w:rPr>
          <w:sz w:val="24"/>
          <w:szCs w:val="24"/>
        </w:rPr>
        <w:t>“In view of our recognition that an enhanced award may be justified ‘in some cases of exceptional success,’ we cannot agree with petitioner’s argument that an ‘upward adjustment’ is never permissible. The statute requires a ‘reasonable fee,’ and there may be circumstances in which the basic standard of reasonable rates multiplied by reasonably expended hours results in a fee that is either unreasonably low or unreasonably high. When, however, the applicant for a fee has carried his burden of showing that the claimed rate and number of hours are reasonable, the resulting product is presumed to be the reasonable fee contemplated by § 1988.” (897)</w:t>
      </w:r>
    </w:p>
    <w:p w:rsidR="00AD43F6" w:rsidRDefault="00AD43F6" w:rsidP="00AD43F6">
      <w:pPr>
        <w:pStyle w:val="ListParagraph"/>
        <w:spacing w:after="0"/>
        <w:rPr>
          <w:sz w:val="24"/>
          <w:szCs w:val="24"/>
        </w:rPr>
      </w:pPr>
    </w:p>
    <w:p w:rsidR="00AD43F6" w:rsidRPr="00AD43F6" w:rsidRDefault="00AD43F6" w:rsidP="00AD43F6">
      <w:pPr>
        <w:pStyle w:val="ListParagraph"/>
        <w:numPr>
          <w:ilvl w:val="0"/>
          <w:numId w:val="6"/>
        </w:numPr>
        <w:spacing w:after="0"/>
        <w:rPr>
          <w:sz w:val="24"/>
          <w:szCs w:val="24"/>
        </w:rPr>
      </w:pPr>
      <w:r>
        <w:rPr>
          <w:sz w:val="24"/>
          <w:szCs w:val="24"/>
        </w:rPr>
        <w:t xml:space="preserve">In this case, the novelty &amp; complexity of the case were already reflected in the # of hours submitted for the Lodestar calculation. </w:t>
      </w:r>
    </w:p>
    <w:p w:rsidR="00AD43F6" w:rsidRDefault="00AD43F6" w:rsidP="00AD43F6">
      <w:pPr>
        <w:pStyle w:val="ListParagraph"/>
        <w:numPr>
          <w:ilvl w:val="1"/>
          <w:numId w:val="6"/>
        </w:numPr>
        <w:spacing w:after="0"/>
        <w:rPr>
          <w:sz w:val="24"/>
          <w:szCs w:val="24"/>
        </w:rPr>
      </w:pPr>
      <w:r>
        <w:rPr>
          <w:sz w:val="24"/>
          <w:szCs w:val="24"/>
        </w:rPr>
        <w:t xml:space="preserve">“There may be cases, of course, where the experience and special skill of the attorney will require the expenditure of fewer hours than counsel normally would be expected to spend on a particularly novel or complex issue. In those cases, the special skill and experience of counsel should be reflected in the reasonableness of the hourly rates. </w:t>
      </w:r>
      <w:r w:rsidRPr="00AD43F6">
        <w:rPr>
          <w:b/>
          <w:sz w:val="24"/>
          <w:szCs w:val="24"/>
        </w:rPr>
        <w:t>Neither complexity nor novelty of the issues, therefore, is an appropriate factor in determining whether to increase the basic fee award.</w:t>
      </w:r>
      <w:r>
        <w:rPr>
          <w:sz w:val="24"/>
          <w:szCs w:val="24"/>
        </w:rPr>
        <w:t>” (899)</w:t>
      </w:r>
    </w:p>
    <w:p w:rsidR="00AD43F6" w:rsidRDefault="00AD43F6" w:rsidP="00AD43F6">
      <w:pPr>
        <w:pStyle w:val="ListParagraph"/>
        <w:numPr>
          <w:ilvl w:val="0"/>
          <w:numId w:val="6"/>
        </w:numPr>
        <w:spacing w:after="0"/>
        <w:rPr>
          <w:sz w:val="24"/>
          <w:szCs w:val="24"/>
        </w:rPr>
      </w:pPr>
      <w:r>
        <w:rPr>
          <w:sz w:val="24"/>
          <w:szCs w:val="24"/>
        </w:rPr>
        <w:t>“The quality of representation . . . generally is reflected in the reasonable hourly rate.” (899)</w:t>
      </w:r>
    </w:p>
    <w:p w:rsidR="00C87419" w:rsidRPr="00AD43F6" w:rsidRDefault="00AD43F6" w:rsidP="00C87419">
      <w:pPr>
        <w:pStyle w:val="ListParagraph"/>
        <w:numPr>
          <w:ilvl w:val="0"/>
          <w:numId w:val="6"/>
        </w:numPr>
        <w:spacing w:after="0"/>
        <w:rPr>
          <w:sz w:val="24"/>
          <w:szCs w:val="24"/>
        </w:rPr>
      </w:pPr>
      <w:r>
        <w:rPr>
          <w:i/>
          <w:sz w:val="24"/>
          <w:szCs w:val="24"/>
        </w:rPr>
        <w:t>Johnson</w:t>
      </w:r>
      <w:r>
        <w:rPr>
          <w:sz w:val="24"/>
          <w:szCs w:val="24"/>
        </w:rPr>
        <w:t xml:space="preserve"> factor “results obtained</w:t>
      </w:r>
      <w:r w:rsidRPr="00AD43F6">
        <w:rPr>
          <w:b/>
          <w:sz w:val="24"/>
          <w:szCs w:val="24"/>
        </w:rPr>
        <w:t>”—“Because acknowledgment of the ‘results obtained’ generally will be subsumed within other factors used to calculate a reasonable fee, it normally should not provide an independent basis for increasing the fee award.”</w:t>
      </w:r>
      <w:r>
        <w:rPr>
          <w:sz w:val="24"/>
          <w:szCs w:val="24"/>
        </w:rPr>
        <w:t xml:space="preserve"> (900)</w:t>
      </w:r>
    </w:p>
    <w:p w:rsidR="00552EC4" w:rsidRPr="00C87419" w:rsidRDefault="00552EC4" w:rsidP="00C87419">
      <w:pPr>
        <w:spacing w:after="0"/>
        <w:rPr>
          <w:sz w:val="24"/>
          <w:szCs w:val="24"/>
        </w:rPr>
      </w:pPr>
    </w:p>
    <w:p w:rsidR="00552EC4" w:rsidRDefault="00552EC4" w:rsidP="00C87419">
      <w:pPr>
        <w:spacing w:after="0"/>
        <w:rPr>
          <w:b/>
          <w:sz w:val="24"/>
          <w:szCs w:val="24"/>
        </w:rPr>
      </w:pPr>
    </w:p>
    <w:p w:rsidR="00E16E68" w:rsidRDefault="00AD43F6" w:rsidP="00C87419">
      <w:pPr>
        <w:spacing w:after="0"/>
        <w:rPr>
          <w:b/>
          <w:sz w:val="24"/>
          <w:szCs w:val="24"/>
        </w:rPr>
      </w:pPr>
      <w:r>
        <w:rPr>
          <w:b/>
          <w:sz w:val="24"/>
          <w:szCs w:val="24"/>
        </w:rPr>
        <w:t>Concurrence</w:t>
      </w:r>
      <w:r w:rsidR="00E16E68">
        <w:rPr>
          <w:b/>
          <w:sz w:val="24"/>
          <w:szCs w:val="24"/>
        </w:rPr>
        <w:t>:</w:t>
      </w:r>
      <w:r>
        <w:rPr>
          <w:b/>
          <w:sz w:val="24"/>
          <w:szCs w:val="24"/>
        </w:rPr>
        <w:t xml:space="preserve"> Brennan</w:t>
      </w:r>
    </w:p>
    <w:p w:rsidR="00AD43F6" w:rsidRPr="00AD43F6" w:rsidRDefault="00AD43F6" w:rsidP="00AD43F6">
      <w:pPr>
        <w:pStyle w:val="ListParagraph"/>
        <w:numPr>
          <w:ilvl w:val="0"/>
          <w:numId w:val="6"/>
        </w:numPr>
        <w:spacing w:after="0"/>
        <w:rPr>
          <w:sz w:val="24"/>
          <w:szCs w:val="24"/>
        </w:rPr>
      </w:pPr>
      <w:r>
        <w:rPr>
          <w:sz w:val="24"/>
          <w:szCs w:val="24"/>
        </w:rPr>
        <w:t>Writes separately to affirm that Congress intended that the risk of not prevailing is a proper basis for adjusting awarded fees upward. (Based on legislative history)</w:t>
      </w:r>
    </w:p>
    <w:p w:rsidR="00C87419" w:rsidRDefault="00C87419" w:rsidP="00C87419">
      <w:pPr>
        <w:spacing w:after="0"/>
        <w:rPr>
          <w:b/>
          <w:sz w:val="24"/>
          <w:szCs w:val="24"/>
        </w:rPr>
      </w:pPr>
    </w:p>
    <w:p w:rsidR="00E16E68" w:rsidRPr="00E16E68" w:rsidRDefault="00E16E68" w:rsidP="00C87419">
      <w:pPr>
        <w:spacing w:after="0"/>
        <w:rPr>
          <w:b/>
          <w:sz w:val="24"/>
          <w:szCs w:val="24"/>
        </w:rPr>
      </w:pPr>
    </w:p>
    <w:sectPr w:rsidR="00E16E68" w:rsidRPr="00E16E6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21E9" w:rsidRDefault="00B721E9" w:rsidP="00E16E68">
      <w:pPr>
        <w:spacing w:after="0" w:line="240" w:lineRule="auto"/>
      </w:pPr>
      <w:r>
        <w:separator/>
      </w:r>
    </w:p>
  </w:endnote>
  <w:endnote w:type="continuationSeparator" w:id="0">
    <w:p w:rsidR="00B721E9" w:rsidRDefault="00B721E9"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21E9" w:rsidRDefault="00B721E9" w:rsidP="00E16E68">
      <w:pPr>
        <w:spacing w:after="0" w:line="240" w:lineRule="auto"/>
      </w:pPr>
      <w:r>
        <w:separator/>
      </w:r>
    </w:p>
  </w:footnote>
  <w:footnote w:type="continuationSeparator" w:id="0">
    <w:p w:rsidR="00B721E9" w:rsidRDefault="00B721E9"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8E5B66" w:rsidP="00757CDB">
    <w:pPr>
      <w:pStyle w:val="Header"/>
      <w:jc w:val="right"/>
    </w:pPr>
    <w:r>
      <w:t>US</w:t>
    </w:r>
    <w:r w:rsidR="0016476D">
      <w:t xml:space="preserve"> </w:t>
    </w:r>
    <w:r w:rsidR="007D1AC2">
      <w:t>Supreme</w:t>
    </w:r>
    <w:r w:rsidR="0016476D">
      <w:t xml:space="preserve"> Court</w:t>
    </w:r>
    <w:r w:rsidR="00E16E68">
      <w:tab/>
    </w:r>
    <w:r w:rsidR="00AD43F6">
      <w:t>1984</w:t>
    </w:r>
    <w:r w:rsidR="00E16E68">
      <w:tab/>
    </w:r>
    <w:r w:rsidR="00AD43F6">
      <w:t>Blum v. Stenson</w:t>
    </w:r>
  </w:p>
  <w:p w:rsidR="00552EC4" w:rsidRPr="00AD43F6" w:rsidRDefault="00552EC4" w:rsidP="00552EC4">
    <w:pPr>
      <w:pStyle w:val="Header"/>
      <w:jc w:val="right"/>
    </w:pPr>
    <w:r>
      <w:tab/>
    </w:r>
    <w:r>
      <w:tab/>
    </w:r>
    <w:r w:rsidR="00AD43F6">
      <w:t>ATTORNEY FEES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446FDB"/>
    <w:multiLevelType w:val="hybridMultilevel"/>
    <w:tmpl w:val="7330953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331491F"/>
    <w:multiLevelType w:val="hybridMultilevel"/>
    <w:tmpl w:val="F4F64204"/>
    <w:lvl w:ilvl="0" w:tplc="118805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3692CC3"/>
    <w:multiLevelType w:val="hybridMultilevel"/>
    <w:tmpl w:val="180A7F4E"/>
    <w:lvl w:ilvl="0" w:tplc="392CB2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5447686"/>
    <w:multiLevelType w:val="hybridMultilevel"/>
    <w:tmpl w:val="C7FA4852"/>
    <w:lvl w:ilvl="0" w:tplc="7A4C554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FC9707E"/>
    <w:multiLevelType w:val="hybridMultilevel"/>
    <w:tmpl w:val="5FC8F94E"/>
    <w:lvl w:ilvl="0" w:tplc="91DC4326">
      <w:start w:val="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69C47A2"/>
    <w:multiLevelType w:val="hybridMultilevel"/>
    <w:tmpl w:val="65029DA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AC94C9C"/>
    <w:multiLevelType w:val="hybridMultilevel"/>
    <w:tmpl w:val="8CECA8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
  </w:num>
  <w:num w:numId="4">
    <w:abstractNumId w:val="0"/>
  </w:num>
  <w:num w:numId="5">
    <w:abstractNumId w:val="7"/>
  </w:num>
  <w:num w:numId="6">
    <w:abstractNumId w:val="6"/>
  </w:num>
  <w:num w:numId="7">
    <w:abstractNumId w:val="2"/>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54BBC"/>
    <w:rsid w:val="00144D3B"/>
    <w:rsid w:val="0016476D"/>
    <w:rsid w:val="00172447"/>
    <w:rsid w:val="001B0867"/>
    <w:rsid w:val="00457D27"/>
    <w:rsid w:val="00552EC4"/>
    <w:rsid w:val="006A77A2"/>
    <w:rsid w:val="00757CDB"/>
    <w:rsid w:val="007D1AC2"/>
    <w:rsid w:val="008A41F9"/>
    <w:rsid w:val="008E5B66"/>
    <w:rsid w:val="009917BC"/>
    <w:rsid w:val="00A65C5C"/>
    <w:rsid w:val="00A71E2C"/>
    <w:rsid w:val="00AD43F6"/>
    <w:rsid w:val="00B330E3"/>
    <w:rsid w:val="00B564E2"/>
    <w:rsid w:val="00B667F9"/>
    <w:rsid w:val="00B721E9"/>
    <w:rsid w:val="00B778D1"/>
    <w:rsid w:val="00C87419"/>
    <w:rsid w:val="00CC3AFE"/>
    <w:rsid w:val="00CC7EEE"/>
    <w:rsid w:val="00CD6DF7"/>
    <w:rsid w:val="00D2368C"/>
    <w:rsid w:val="00D66735"/>
    <w:rsid w:val="00E16E68"/>
    <w:rsid w:val="00E213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872</Words>
  <Characters>4971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dcterms:created xsi:type="dcterms:W3CDTF">2019-06-19T23:36:00Z</dcterms:created>
  <dcterms:modified xsi:type="dcterms:W3CDTF">2019-06-19T23:36:00Z</dcterms:modified>
</cp:coreProperties>
</file>