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472549" w:rsidP="00C87419">
      <w:pPr>
        <w:spacing w:after="0"/>
      </w:pPr>
      <w:r>
        <w:rPr>
          <w:noProof/>
        </w:rPr>
        <w:pict>
          <v:shapetype id="_x0000_t202" coordsize="21600,21600" o:spt="202" path="m,l,21600r21600,l21600,xe">
            <v:stroke joinstyle="miter"/>
            <v:path gradientshapeok="t" o:connecttype="rect"/>
          </v:shapetype>
          <v:shape id="_x0000_s1026" type="#_x0000_t202" style="position:absolute;margin-left:369pt;margin-top:10.65pt;width:138pt;height:66.75pt;z-index:251658240">
            <v:textbox>
              <w:txbxContent>
                <w:p w:rsidR="0063698D" w:rsidRPr="0063698D" w:rsidRDefault="0063698D">
                  <w:pPr>
                    <w:rPr>
                      <w:color w:val="FF0000"/>
                    </w:rPr>
                  </w:pPr>
                  <w:proofErr w:type="gramStart"/>
                  <w:r>
                    <w:rPr>
                      <w:color w:val="FF0000"/>
                    </w:rPr>
                    <w:t xml:space="preserve">Abrogated by </w:t>
                  </w:r>
                  <w:r>
                    <w:rPr>
                      <w:i/>
                      <w:color w:val="FF0000"/>
                    </w:rPr>
                    <w:t xml:space="preserve">Blanchard v. Bergeron </w:t>
                  </w:r>
                  <w:r>
                    <w:rPr>
                      <w:color w:val="FF0000"/>
                    </w:rPr>
                    <w:t>(US 1989)</w:t>
                  </w:r>
                  <w:r w:rsidR="00F500BB">
                    <w:rPr>
                      <w:color w:val="FF0000"/>
                    </w:rPr>
                    <w:t xml:space="preserve"> re.</w:t>
                  </w:r>
                  <w:proofErr w:type="gramEnd"/>
                  <w:r w:rsidR="00F500BB">
                    <w:rPr>
                      <w:color w:val="FF0000"/>
                    </w:rPr>
                    <w:t xml:space="preserve"> </w:t>
                  </w:r>
                  <w:proofErr w:type="gramStart"/>
                  <w:r w:rsidR="00F500BB">
                    <w:rPr>
                      <w:color w:val="FF0000"/>
                    </w:rPr>
                    <w:t>limitation</w:t>
                  </w:r>
                  <w:proofErr w:type="gramEnd"/>
                  <w:r w:rsidR="00F500BB">
                    <w:rPr>
                      <w:color w:val="FF0000"/>
                    </w:rPr>
                    <w:t xml:space="preserve"> on contingency agreement awards</w:t>
                  </w:r>
                  <w:r>
                    <w:rPr>
                      <w:color w:val="FF0000"/>
                    </w:rPr>
                    <w:t>.</w:t>
                  </w:r>
                </w:p>
              </w:txbxContent>
            </v:textbox>
          </v:shape>
        </w:pict>
      </w:r>
    </w:p>
    <w:p w:rsidR="00E16E68" w:rsidRDefault="00711AF3" w:rsidP="00C87419">
      <w:pPr>
        <w:spacing w:after="0"/>
        <w:jc w:val="center"/>
        <w:rPr>
          <w:b/>
          <w:sz w:val="24"/>
          <w:szCs w:val="24"/>
        </w:rPr>
      </w:pPr>
      <w:r>
        <w:rPr>
          <w:b/>
          <w:sz w:val="24"/>
          <w:szCs w:val="24"/>
        </w:rPr>
        <w:t xml:space="preserve">Fifth </w:t>
      </w:r>
      <w:r w:rsidR="00496F39">
        <w:rPr>
          <w:b/>
          <w:sz w:val="24"/>
          <w:szCs w:val="24"/>
        </w:rPr>
        <w:t>Circuit Court</w:t>
      </w:r>
    </w:p>
    <w:p w:rsidR="00C87419" w:rsidRDefault="00C87419" w:rsidP="00C87419">
      <w:pPr>
        <w:spacing w:after="0"/>
        <w:jc w:val="center"/>
        <w:rPr>
          <w:b/>
          <w:sz w:val="24"/>
          <w:szCs w:val="24"/>
        </w:rPr>
      </w:pPr>
    </w:p>
    <w:p w:rsidR="00E16E68" w:rsidRPr="00711AF3" w:rsidRDefault="00E16E68" w:rsidP="00C87419">
      <w:pPr>
        <w:spacing w:after="0"/>
        <w:rPr>
          <w:sz w:val="24"/>
          <w:szCs w:val="24"/>
        </w:rPr>
      </w:pPr>
      <w:r>
        <w:rPr>
          <w:b/>
          <w:sz w:val="24"/>
          <w:szCs w:val="24"/>
        </w:rPr>
        <w:t>Case:</w:t>
      </w:r>
      <w:r w:rsidR="00711AF3">
        <w:rPr>
          <w:sz w:val="24"/>
          <w:szCs w:val="24"/>
        </w:rPr>
        <w:t xml:space="preserve"> </w:t>
      </w:r>
      <w:r w:rsidR="00711AF3">
        <w:rPr>
          <w:i/>
          <w:sz w:val="24"/>
          <w:szCs w:val="24"/>
        </w:rPr>
        <w:t>Johnson v. Georgia Highway Exp., Inc.</w:t>
      </w:r>
      <w:r w:rsidR="00711AF3">
        <w:rPr>
          <w:sz w:val="24"/>
          <w:szCs w:val="24"/>
        </w:rPr>
        <w:t>, 488 F.2d 714 (5th Cir. 1974)</w:t>
      </w:r>
    </w:p>
    <w:p w:rsidR="00C87419" w:rsidRDefault="00C87419" w:rsidP="00C87419">
      <w:pPr>
        <w:spacing w:after="0"/>
        <w:rPr>
          <w:b/>
          <w:sz w:val="24"/>
          <w:szCs w:val="24"/>
        </w:rPr>
      </w:pPr>
    </w:p>
    <w:p w:rsidR="00E16E68" w:rsidRPr="00711AF3" w:rsidRDefault="00E16E68" w:rsidP="00C87419">
      <w:pPr>
        <w:spacing w:after="0"/>
        <w:rPr>
          <w:sz w:val="24"/>
          <w:szCs w:val="24"/>
        </w:rPr>
      </w:pPr>
      <w:r>
        <w:rPr>
          <w:b/>
          <w:sz w:val="24"/>
          <w:szCs w:val="24"/>
        </w:rPr>
        <w:t>Judge</w:t>
      </w:r>
      <w:r w:rsidR="00711AF3">
        <w:rPr>
          <w:b/>
          <w:sz w:val="24"/>
          <w:szCs w:val="24"/>
        </w:rPr>
        <w:t>s</w:t>
      </w:r>
      <w:r>
        <w:rPr>
          <w:b/>
          <w:sz w:val="24"/>
          <w:szCs w:val="24"/>
        </w:rPr>
        <w:t>:</w:t>
      </w:r>
      <w:r w:rsidR="00711AF3">
        <w:rPr>
          <w:sz w:val="24"/>
          <w:szCs w:val="24"/>
        </w:rPr>
        <w:t xml:space="preserve"> Thornberry, Ainsworth, </w:t>
      </w:r>
      <w:proofErr w:type="spellStart"/>
      <w:r w:rsidR="00711AF3">
        <w:rPr>
          <w:sz w:val="24"/>
          <w:szCs w:val="24"/>
        </w:rPr>
        <w:t>Roney</w:t>
      </w:r>
      <w:proofErr w:type="spellEnd"/>
      <w:r w:rsidR="00711AF3">
        <w:rPr>
          <w:sz w:val="24"/>
          <w:szCs w:val="24"/>
        </w:rPr>
        <w:t>*</w:t>
      </w:r>
      <w:r>
        <w:rPr>
          <w:b/>
          <w:sz w:val="24"/>
          <w:szCs w:val="24"/>
        </w:rPr>
        <w:tab/>
      </w:r>
      <w:r w:rsidRPr="00496F39">
        <w:rPr>
          <w:sz w:val="24"/>
          <w:szCs w:val="24"/>
        </w:rPr>
        <w:tab/>
      </w:r>
      <w:r>
        <w:rPr>
          <w:b/>
          <w:sz w:val="24"/>
          <w:szCs w:val="24"/>
        </w:rPr>
        <w:tab/>
      </w:r>
      <w:r>
        <w:rPr>
          <w:b/>
          <w:sz w:val="24"/>
          <w:szCs w:val="24"/>
        </w:rPr>
        <w:tab/>
        <w:t>Date:</w:t>
      </w:r>
      <w:r w:rsidR="00711AF3">
        <w:rPr>
          <w:sz w:val="24"/>
          <w:szCs w:val="24"/>
        </w:rPr>
        <w:t xml:space="preserve"> Jan. 21, 1974</w:t>
      </w:r>
    </w:p>
    <w:p w:rsidR="00C87419" w:rsidRDefault="00C87419" w:rsidP="00C87419">
      <w:pPr>
        <w:spacing w:after="0"/>
        <w:rPr>
          <w:b/>
          <w:sz w:val="24"/>
          <w:szCs w:val="24"/>
        </w:rPr>
      </w:pPr>
    </w:p>
    <w:p w:rsidR="00E16E68" w:rsidRPr="00496F39" w:rsidRDefault="00E16E68" w:rsidP="00C87419">
      <w:pPr>
        <w:spacing w:after="0"/>
        <w:rPr>
          <w:sz w:val="24"/>
          <w:szCs w:val="24"/>
        </w:rPr>
      </w:pPr>
      <w:r>
        <w:rPr>
          <w:b/>
          <w:sz w:val="24"/>
          <w:szCs w:val="24"/>
        </w:rPr>
        <w:t>Tags:</w:t>
      </w:r>
      <w:r w:rsidR="00496F39">
        <w:rPr>
          <w:sz w:val="24"/>
          <w:szCs w:val="24"/>
        </w:rPr>
        <w:t xml:space="preserve"> </w:t>
      </w:r>
      <w:r w:rsidR="00711AF3">
        <w:rPr>
          <w:sz w:val="24"/>
          <w:szCs w:val="24"/>
        </w:rPr>
        <w:t xml:space="preserve">Attorney fees, class action, Title VII, </w:t>
      </w:r>
    </w:p>
    <w:p w:rsidR="00C87419" w:rsidRDefault="00C87419" w:rsidP="00C87419">
      <w:pPr>
        <w:spacing w:after="0"/>
        <w:rPr>
          <w:b/>
          <w:sz w:val="24"/>
          <w:szCs w:val="24"/>
        </w:rPr>
      </w:pPr>
    </w:p>
    <w:p w:rsidR="00496F39" w:rsidRPr="00711AF3" w:rsidRDefault="00496F39" w:rsidP="00496F39">
      <w:pPr>
        <w:spacing w:after="0"/>
        <w:rPr>
          <w:sz w:val="24"/>
          <w:szCs w:val="24"/>
        </w:rPr>
      </w:pPr>
      <w:r>
        <w:rPr>
          <w:b/>
          <w:sz w:val="24"/>
          <w:szCs w:val="24"/>
        </w:rPr>
        <w:t>Gravamen/Question(s) at issue:</w:t>
      </w:r>
      <w:r w:rsidR="00711AF3">
        <w:rPr>
          <w:sz w:val="24"/>
          <w:szCs w:val="24"/>
        </w:rPr>
        <w:t xml:space="preserve"> Was the award of attorneys’ fees in this Title VII class action case adequate?</w:t>
      </w:r>
    </w:p>
    <w:p w:rsidR="00496F39" w:rsidRPr="00496F39" w:rsidRDefault="00496F39" w:rsidP="00C87419">
      <w:pPr>
        <w:spacing w:after="0"/>
        <w:rPr>
          <w:sz w:val="24"/>
          <w:szCs w:val="24"/>
        </w:rPr>
      </w:pPr>
    </w:p>
    <w:p w:rsidR="00E16E68" w:rsidRPr="00710EA3" w:rsidRDefault="00E16E68" w:rsidP="00C87419">
      <w:pPr>
        <w:spacing w:after="0"/>
        <w:rPr>
          <w:sz w:val="24"/>
          <w:szCs w:val="24"/>
        </w:rPr>
      </w:pPr>
      <w:r>
        <w:rPr>
          <w:b/>
          <w:sz w:val="24"/>
          <w:szCs w:val="24"/>
        </w:rPr>
        <w:t>Holdings:</w:t>
      </w:r>
      <w:r w:rsidR="00710EA3">
        <w:rPr>
          <w:sz w:val="24"/>
          <w:szCs w:val="24"/>
        </w:rPr>
        <w:t xml:space="preserve"> Vacated and remanded with guidelines for determining fees (but no judgment call on whether the original amount was right or not). Abuse of discretion in not applying factors outlined in </w:t>
      </w:r>
      <w:r w:rsidR="00710EA3">
        <w:rPr>
          <w:i/>
          <w:sz w:val="24"/>
          <w:szCs w:val="24"/>
        </w:rPr>
        <w:t>Clark</w:t>
      </w:r>
      <w:r w:rsidR="00710EA3">
        <w:rPr>
          <w:sz w:val="24"/>
          <w:szCs w:val="24"/>
        </w:rPr>
        <w:t>.</w:t>
      </w:r>
    </w:p>
    <w:p w:rsidR="00C87419" w:rsidRDefault="00C87419" w:rsidP="00C87419">
      <w:pPr>
        <w:spacing w:after="0"/>
        <w:rPr>
          <w:b/>
          <w:sz w:val="24"/>
          <w:szCs w:val="24"/>
        </w:rPr>
      </w:pPr>
    </w:p>
    <w:p w:rsidR="00E16E68" w:rsidRPr="00710EA3" w:rsidRDefault="00E16E68" w:rsidP="00C87419">
      <w:pPr>
        <w:spacing w:after="0"/>
        <w:rPr>
          <w:sz w:val="24"/>
          <w:szCs w:val="24"/>
        </w:rPr>
      </w:pPr>
      <w:r>
        <w:rPr>
          <w:b/>
          <w:sz w:val="24"/>
          <w:szCs w:val="24"/>
        </w:rPr>
        <w:t>Rationale:</w:t>
      </w:r>
      <w:r w:rsidR="00710EA3">
        <w:rPr>
          <w:sz w:val="24"/>
          <w:szCs w:val="24"/>
        </w:rPr>
        <w:t xml:space="preserve"> District Court needs guidance, so </w:t>
      </w:r>
      <w:proofErr w:type="gramStart"/>
      <w:r w:rsidR="00710EA3">
        <w:rPr>
          <w:sz w:val="24"/>
          <w:szCs w:val="24"/>
        </w:rPr>
        <w:t>here’s</w:t>
      </w:r>
      <w:proofErr w:type="gramEnd"/>
      <w:r w:rsidR="00710EA3">
        <w:rPr>
          <w:sz w:val="24"/>
          <w:szCs w:val="24"/>
        </w:rPr>
        <w:t xml:space="preserve"> twelve things to try to apply.</w:t>
      </w:r>
    </w:p>
    <w:p w:rsidR="00C87419" w:rsidRDefault="00C87419" w:rsidP="00C87419">
      <w:pPr>
        <w:spacing w:after="0"/>
        <w:rPr>
          <w:b/>
          <w:sz w:val="24"/>
          <w:szCs w:val="24"/>
        </w:rPr>
      </w:pPr>
    </w:p>
    <w:p w:rsidR="004B2F4F" w:rsidRPr="00496F39" w:rsidRDefault="004B2F4F" w:rsidP="004B2F4F">
      <w:pPr>
        <w:spacing w:after="0"/>
        <w:rPr>
          <w:sz w:val="24"/>
          <w:szCs w:val="24"/>
        </w:rPr>
      </w:pPr>
      <w:r>
        <w:rPr>
          <w:b/>
          <w:sz w:val="24"/>
          <w:szCs w:val="24"/>
        </w:rPr>
        <w:t>Facts:</w:t>
      </w:r>
      <w:r>
        <w:rPr>
          <w:sz w:val="24"/>
          <w:szCs w:val="24"/>
        </w:rPr>
        <w:t xml:space="preserve"> </w:t>
      </w:r>
      <w:r w:rsidR="00711AF3">
        <w:rPr>
          <w:sz w:val="24"/>
          <w:szCs w:val="24"/>
        </w:rPr>
        <w:t xml:space="preserve">Plaintiff prevailed in an employment discrimination case under Title VII of the 1964 Civil Rights Act. Plaintiffs submitted a schedule of fees with affidavits from attorneys. $13,500 awarded attorneys’ fees challenged by plaintiffs as inadequate for 659.5 billable hours (they had requested $30K). </w:t>
      </w:r>
    </w:p>
    <w:p w:rsidR="004B2F4F" w:rsidRDefault="004B2F4F" w:rsidP="00C87419">
      <w:pPr>
        <w:spacing w:after="0"/>
        <w:rPr>
          <w:b/>
          <w:sz w:val="24"/>
          <w:szCs w:val="24"/>
        </w:rPr>
      </w:pPr>
    </w:p>
    <w:p w:rsidR="004B2F4F" w:rsidRPr="00496F39" w:rsidRDefault="004B2F4F" w:rsidP="004B2F4F">
      <w:pPr>
        <w:spacing w:after="0"/>
        <w:rPr>
          <w:sz w:val="24"/>
          <w:szCs w:val="24"/>
        </w:rPr>
      </w:pPr>
      <w:r>
        <w:rPr>
          <w:b/>
          <w:sz w:val="24"/>
          <w:szCs w:val="24"/>
        </w:rPr>
        <w:t>Prior Appeals &amp; Trial Court Input:</w:t>
      </w:r>
    </w:p>
    <w:p w:rsidR="004B2F4F" w:rsidRPr="00711AF3" w:rsidRDefault="00711AF3" w:rsidP="00711AF3">
      <w:pPr>
        <w:pStyle w:val="ListParagraph"/>
        <w:numPr>
          <w:ilvl w:val="0"/>
          <w:numId w:val="2"/>
        </w:numPr>
        <w:spacing w:after="0"/>
        <w:rPr>
          <w:b/>
          <w:sz w:val="24"/>
          <w:szCs w:val="24"/>
        </w:rPr>
      </w:pPr>
      <w:r>
        <w:rPr>
          <w:sz w:val="24"/>
          <w:szCs w:val="24"/>
        </w:rPr>
        <w:t xml:space="preserve">District Court explained that their </w:t>
      </w:r>
      <w:r w:rsidR="0072293C">
        <w:rPr>
          <w:sz w:val="24"/>
          <w:szCs w:val="24"/>
        </w:rPr>
        <w:t xml:space="preserve">“reasonable” </w:t>
      </w:r>
      <w:r>
        <w:rPr>
          <w:sz w:val="24"/>
          <w:szCs w:val="24"/>
        </w:rPr>
        <w:t>award was lower</w:t>
      </w:r>
      <w:r w:rsidR="0072293C">
        <w:rPr>
          <w:sz w:val="24"/>
          <w:szCs w:val="24"/>
        </w:rPr>
        <w:t xml:space="preserve"> than the plaintiffs’ request</w:t>
      </w:r>
      <w:r>
        <w:rPr>
          <w:sz w:val="24"/>
          <w:szCs w:val="24"/>
        </w:rPr>
        <w:t xml:space="preserve"> because the attorneys that worked the most on the case were </w:t>
      </w:r>
      <w:proofErr w:type="spellStart"/>
      <w:r>
        <w:rPr>
          <w:sz w:val="24"/>
          <w:szCs w:val="24"/>
        </w:rPr>
        <w:t>newbies</w:t>
      </w:r>
      <w:proofErr w:type="spellEnd"/>
      <w:r>
        <w:rPr>
          <w:sz w:val="24"/>
          <w:szCs w:val="24"/>
        </w:rPr>
        <w:t xml:space="preserve"> and so they wouldn’t get as much recompense. </w:t>
      </w:r>
    </w:p>
    <w:p w:rsidR="004B2F4F" w:rsidRDefault="004B2F4F" w:rsidP="00C87419">
      <w:pPr>
        <w:spacing w:after="0"/>
        <w:rPr>
          <w:b/>
          <w:sz w:val="24"/>
          <w:szCs w:val="24"/>
        </w:rPr>
      </w:pPr>
    </w:p>
    <w:p w:rsidR="00552EC4" w:rsidRPr="00496F39" w:rsidRDefault="00552EC4" w:rsidP="00C87419">
      <w:pPr>
        <w:spacing w:after="0"/>
        <w:rPr>
          <w:sz w:val="24"/>
          <w:szCs w:val="24"/>
        </w:rPr>
      </w:pPr>
      <w:r>
        <w:rPr>
          <w:b/>
          <w:sz w:val="24"/>
          <w:szCs w:val="24"/>
        </w:rPr>
        <w:t>Appeals to Statute &amp; Precedent:</w:t>
      </w:r>
    </w:p>
    <w:p w:rsidR="00C87419" w:rsidRPr="0072293C" w:rsidRDefault="0072293C" w:rsidP="0072293C">
      <w:pPr>
        <w:pStyle w:val="ListParagraph"/>
        <w:numPr>
          <w:ilvl w:val="0"/>
          <w:numId w:val="2"/>
        </w:numPr>
        <w:spacing w:after="0"/>
        <w:rPr>
          <w:b/>
          <w:sz w:val="24"/>
          <w:szCs w:val="24"/>
        </w:rPr>
      </w:pPr>
      <w:r>
        <w:rPr>
          <w:b/>
          <w:sz w:val="24"/>
          <w:szCs w:val="24"/>
        </w:rPr>
        <w:t>Civil Rights Act, Title VII, Section 706(k):</w:t>
      </w:r>
      <w:r>
        <w:rPr>
          <w:sz w:val="24"/>
          <w:szCs w:val="24"/>
        </w:rPr>
        <w:t xml:space="preserve"> “In any action or proceeding under this subchapter the Court, in its discretion, may allow the prevailing party . . . a reasonable attorney’s fee as part of the cost of the litigation.” </w:t>
      </w:r>
    </w:p>
    <w:p w:rsidR="0072293C" w:rsidRPr="0072293C" w:rsidRDefault="0072293C" w:rsidP="0072293C">
      <w:pPr>
        <w:pStyle w:val="ListParagraph"/>
        <w:numPr>
          <w:ilvl w:val="0"/>
          <w:numId w:val="2"/>
        </w:numPr>
        <w:spacing w:after="0"/>
        <w:rPr>
          <w:b/>
          <w:sz w:val="24"/>
          <w:szCs w:val="24"/>
        </w:rPr>
      </w:pPr>
      <w:r>
        <w:rPr>
          <w:b/>
          <w:i/>
          <w:sz w:val="24"/>
          <w:szCs w:val="24"/>
        </w:rPr>
        <w:t xml:space="preserve">Newman v. </w:t>
      </w:r>
      <w:proofErr w:type="spellStart"/>
      <w:r>
        <w:rPr>
          <w:b/>
          <w:i/>
          <w:sz w:val="24"/>
          <w:szCs w:val="24"/>
        </w:rPr>
        <w:t>Piggie</w:t>
      </w:r>
      <w:proofErr w:type="spellEnd"/>
      <w:r>
        <w:rPr>
          <w:b/>
          <w:i/>
          <w:sz w:val="24"/>
          <w:szCs w:val="24"/>
        </w:rPr>
        <w:t xml:space="preserve"> Park Enterprises, Inc.</w:t>
      </w:r>
      <w:r>
        <w:rPr>
          <w:b/>
          <w:sz w:val="24"/>
          <w:szCs w:val="24"/>
        </w:rPr>
        <w:t>, 390 U.S. 400 (1968):</w:t>
      </w:r>
      <w:r>
        <w:rPr>
          <w:sz w:val="24"/>
          <w:szCs w:val="24"/>
        </w:rPr>
        <w:t xml:space="preserve"> a plaintiff in a Civil Rights case acts as a “private attorney general” on behalf of others in similar situations. The award of attorneys’ fees is meant to encourage the private enforcement of Civil Rights laws.</w:t>
      </w:r>
    </w:p>
    <w:p w:rsidR="0072293C" w:rsidRDefault="0072293C" w:rsidP="0072293C">
      <w:pPr>
        <w:pStyle w:val="ListParagraph"/>
        <w:numPr>
          <w:ilvl w:val="0"/>
          <w:numId w:val="2"/>
        </w:numPr>
        <w:spacing w:after="0"/>
        <w:rPr>
          <w:b/>
          <w:sz w:val="24"/>
          <w:szCs w:val="24"/>
        </w:rPr>
      </w:pPr>
      <w:r>
        <w:rPr>
          <w:b/>
          <w:sz w:val="24"/>
          <w:szCs w:val="24"/>
        </w:rPr>
        <w:t>See list of relevant 5th Circuit cases, p.716-717.</w:t>
      </w:r>
    </w:p>
    <w:p w:rsidR="0072293C" w:rsidRPr="0047264D" w:rsidRDefault="0072293C" w:rsidP="0072293C">
      <w:pPr>
        <w:pStyle w:val="ListParagraph"/>
        <w:numPr>
          <w:ilvl w:val="0"/>
          <w:numId w:val="2"/>
        </w:numPr>
        <w:spacing w:after="0"/>
        <w:rPr>
          <w:b/>
          <w:sz w:val="24"/>
          <w:szCs w:val="24"/>
        </w:rPr>
      </w:pPr>
      <w:r>
        <w:rPr>
          <w:b/>
          <w:i/>
          <w:sz w:val="24"/>
          <w:szCs w:val="24"/>
        </w:rPr>
        <w:t xml:space="preserve">B-M-G Investment Co. v. Continental/Moss </w:t>
      </w:r>
      <w:proofErr w:type="spellStart"/>
      <w:r>
        <w:rPr>
          <w:b/>
          <w:i/>
          <w:sz w:val="24"/>
          <w:szCs w:val="24"/>
        </w:rPr>
        <w:t>Gordin</w:t>
      </w:r>
      <w:proofErr w:type="spellEnd"/>
      <w:r>
        <w:rPr>
          <w:b/>
          <w:i/>
          <w:sz w:val="24"/>
          <w:szCs w:val="24"/>
        </w:rPr>
        <w:t>, Inc.</w:t>
      </w:r>
      <w:r>
        <w:rPr>
          <w:b/>
          <w:sz w:val="24"/>
          <w:szCs w:val="24"/>
        </w:rPr>
        <w:t>, 437 F.2d 892 (5th Cir. 1971):</w:t>
      </w:r>
      <w:r>
        <w:rPr>
          <w:sz w:val="24"/>
          <w:szCs w:val="24"/>
        </w:rPr>
        <w:t xml:space="preserve"> Circuit Court’s authority to review District Court’s determination of what is “reasonable” attorney fee award.</w:t>
      </w:r>
    </w:p>
    <w:p w:rsidR="0047264D" w:rsidRPr="007A5F41" w:rsidRDefault="0047264D" w:rsidP="0072293C">
      <w:pPr>
        <w:pStyle w:val="ListParagraph"/>
        <w:numPr>
          <w:ilvl w:val="0"/>
          <w:numId w:val="2"/>
        </w:numPr>
        <w:spacing w:after="0"/>
        <w:rPr>
          <w:b/>
          <w:sz w:val="24"/>
          <w:szCs w:val="24"/>
        </w:rPr>
      </w:pPr>
      <w:r>
        <w:rPr>
          <w:b/>
          <w:i/>
          <w:sz w:val="24"/>
          <w:szCs w:val="24"/>
        </w:rPr>
        <w:t xml:space="preserve">Electronics Capital Corp. v. </w:t>
      </w:r>
      <w:proofErr w:type="spellStart"/>
      <w:r>
        <w:rPr>
          <w:b/>
          <w:i/>
          <w:sz w:val="24"/>
          <w:szCs w:val="24"/>
        </w:rPr>
        <w:t>Sheperd</w:t>
      </w:r>
      <w:proofErr w:type="spellEnd"/>
      <w:r>
        <w:rPr>
          <w:b/>
          <w:sz w:val="24"/>
          <w:szCs w:val="24"/>
        </w:rPr>
        <w:t>, 439 F.2d 692 (5th Cir. 1971):</w:t>
      </w:r>
      <w:r>
        <w:rPr>
          <w:sz w:val="24"/>
          <w:szCs w:val="24"/>
        </w:rPr>
        <w:t xml:space="preserve"> hours spent on case should not be sole basis for determining attorney reimbursement</w:t>
      </w:r>
    </w:p>
    <w:p w:rsidR="007A5F41" w:rsidRPr="00710EA3" w:rsidRDefault="007A5F41" w:rsidP="0072293C">
      <w:pPr>
        <w:pStyle w:val="ListParagraph"/>
        <w:numPr>
          <w:ilvl w:val="0"/>
          <w:numId w:val="2"/>
        </w:numPr>
        <w:spacing w:after="0"/>
        <w:rPr>
          <w:b/>
          <w:sz w:val="24"/>
          <w:szCs w:val="24"/>
        </w:rPr>
      </w:pPr>
      <w:r>
        <w:rPr>
          <w:b/>
          <w:sz w:val="24"/>
          <w:szCs w:val="24"/>
        </w:rPr>
        <w:t>ABA’s Code of Professional Responsibility, Ethical Consideration 2-18, Disciplinary Rule 2-106:</w:t>
      </w:r>
      <w:r>
        <w:rPr>
          <w:sz w:val="24"/>
          <w:szCs w:val="24"/>
        </w:rPr>
        <w:t xml:space="preserve"> guidelines here are consistent with guidelines in the Code.</w:t>
      </w:r>
    </w:p>
    <w:p w:rsidR="00710EA3" w:rsidRPr="0072293C" w:rsidRDefault="00710EA3" w:rsidP="0072293C">
      <w:pPr>
        <w:pStyle w:val="ListParagraph"/>
        <w:numPr>
          <w:ilvl w:val="0"/>
          <w:numId w:val="2"/>
        </w:numPr>
        <w:spacing w:after="0"/>
        <w:rPr>
          <w:b/>
          <w:sz w:val="24"/>
          <w:szCs w:val="24"/>
        </w:rPr>
      </w:pPr>
      <w:r w:rsidRPr="00710EA3">
        <w:rPr>
          <w:b/>
          <w:i/>
          <w:sz w:val="24"/>
          <w:szCs w:val="24"/>
        </w:rPr>
        <w:t>Clark v. American Marine Co.</w:t>
      </w:r>
      <w:r>
        <w:rPr>
          <w:b/>
          <w:sz w:val="24"/>
          <w:szCs w:val="24"/>
        </w:rPr>
        <w:t xml:space="preserve">, </w:t>
      </w:r>
      <w:proofErr w:type="gramStart"/>
      <w:r>
        <w:rPr>
          <w:b/>
          <w:sz w:val="24"/>
          <w:szCs w:val="24"/>
        </w:rPr>
        <w:t xml:space="preserve">320 </w:t>
      </w:r>
      <w:proofErr w:type="spellStart"/>
      <w:r>
        <w:rPr>
          <w:b/>
          <w:sz w:val="24"/>
          <w:szCs w:val="24"/>
        </w:rPr>
        <w:t>F.Supp</w:t>
      </w:r>
      <w:proofErr w:type="spellEnd"/>
      <w:proofErr w:type="gramEnd"/>
      <w:r>
        <w:rPr>
          <w:b/>
          <w:sz w:val="24"/>
          <w:szCs w:val="24"/>
        </w:rPr>
        <w:t>. 709 (</w:t>
      </w:r>
      <w:proofErr w:type="spellStart"/>
      <w:r>
        <w:rPr>
          <w:b/>
          <w:sz w:val="24"/>
          <w:szCs w:val="24"/>
        </w:rPr>
        <w:t>E.D.La</w:t>
      </w:r>
      <w:proofErr w:type="spellEnd"/>
      <w:r>
        <w:rPr>
          <w:b/>
          <w:sz w:val="24"/>
          <w:szCs w:val="24"/>
        </w:rPr>
        <w:t>. 1970):</w:t>
      </w:r>
      <w:r>
        <w:rPr>
          <w:sz w:val="24"/>
          <w:szCs w:val="24"/>
        </w:rPr>
        <w:t xml:space="preserve"> outlined criteria for awarding fees.</w:t>
      </w:r>
    </w:p>
    <w:p w:rsidR="0072293C" w:rsidRDefault="007A5F41" w:rsidP="007A5F41">
      <w:pPr>
        <w:tabs>
          <w:tab w:val="left" w:pos="1005"/>
        </w:tabs>
        <w:spacing w:after="0"/>
        <w:rPr>
          <w:b/>
          <w:sz w:val="24"/>
          <w:szCs w:val="24"/>
        </w:rPr>
      </w:pPr>
      <w:r>
        <w:rPr>
          <w:b/>
          <w:sz w:val="24"/>
          <w:szCs w:val="24"/>
        </w:rPr>
        <w:tab/>
      </w:r>
    </w:p>
    <w:p w:rsidR="00E16E68" w:rsidRDefault="00E16E68" w:rsidP="00C87419">
      <w:pPr>
        <w:spacing w:after="0"/>
        <w:rPr>
          <w:b/>
          <w:sz w:val="24"/>
          <w:szCs w:val="24"/>
        </w:rPr>
      </w:pPr>
      <w:r>
        <w:rPr>
          <w:b/>
          <w:sz w:val="24"/>
          <w:szCs w:val="24"/>
        </w:rPr>
        <w:lastRenderedPageBreak/>
        <w:t>Dicta</w:t>
      </w:r>
      <w:r w:rsidR="0072293C">
        <w:rPr>
          <w:b/>
          <w:sz w:val="24"/>
          <w:szCs w:val="24"/>
        </w:rPr>
        <w:t>/Discussion</w:t>
      </w:r>
      <w:r>
        <w:rPr>
          <w:b/>
          <w:sz w:val="24"/>
          <w:szCs w:val="24"/>
        </w:rPr>
        <w:t>:</w:t>
      </w:r>
    </w:p>
    <w:p w:rsidR="0072293C" w:rsidRPr="00F500BB" w:rsidRDefault="0072293C" w:rsidP="0072293C">
      <w:pPr>
        <w:pStyle w:val="ListParagraph"/>
        <w:numPr>
          <w:ilvl w:val="0"/>
          <w:numId w:val="2"/>
        </w:numPr>
        <w:spacing w:after="0"/>
      </w:pPr>
      <w:r w:rsidRPr="00F500BB">
        <w:t xml:space="preserve">District Court has discretion re. </w:t>
      </w:r>
      <w:proofErr w:type="gramStart"/>
      <w:r w:rsidRPr="00F500BB">
        <w:rPr>
          <w:i/>
        </w:rPr>
        <w:t>whether</w:t>
      </w:r>
      <w:proofErr w:type="gramEnd"/>
      <w:r w:rsidRPr="00F500BB">
        <w:t xml:space="preserve"> to award fees; Circuit Court may review what DC thought was “reasonable.”</w:t>
      </w:r>
    </w:p>
    <w:p w:rsidR="0072293C" w:rsidRPr="00F500BB" w:rsidRDefault="0072293C" w:rsidP="0072293C">
      <w:pPr>
        <w:pStyle w:val="ListParagraph"/>
        <w:numPr>
          <w:ilvl w:val="0"/>
          <w:numId w:val="2"/>
        </w:numPr>
        <w:spacing w:after="0"/>
      </w:pPr>
      <w:r w:rsidRPr="00F500BB">
        <w:t>We should review what the District Court did with the info it was given by the attorneys, but this is hard because they didn’t appear to have looked at this info at all. “No correlation to the facts and figures submitted by the plaintiff is visible.” (717)</w:t>
      </w:r>
    </w:p>
    <w:p w:rsidR="0047264D" w:rsidRPr="00F500BB" w:rsidRDefault="0047264D" w:rsidP="0072293C">
      <w:pPr>
        <w:pStyle w:val="ListParagraph"/>
        <w:numPr>
          <w:ilvl w:val="0"/>
          <w:numId w:val="2"/>
        </w:numPr>
        <w:spacing w:after="0"/>
      </w:pPr>
      <w:r w:rsidRPr="00F500BB">
        <w:t>So we’ll remand, and give the DC some guidelines (TWELVE!):</w:t>
      </w:r>
    </w:p>
    <w:p w:rsidR="0047264D" w:rsidRPr="00F500BB" w:rsidRDefault="0047264D" w:rsidP="0047264D">
      <w:pPr>
        <w:pStyle w:val="ListParagraph"/>
        <w:numPr>
          <w:ilvl w:val="0"/>
          <w:numId w:val="3"/>
        </w:numPr>
        <w:spacing w:after="0"/>
      </w:pPr>
      <w:r w:rsidRPr="00F500BB">
        <w:rPr>
          <w:i/>
        </w:rPr>
        <w:t>The time and labor required.</w:t>
      </w:r>
      <w:r w:rsidRPr="00F500BB">
        <w:t xml:space="preserve"> (Judge’s common sense judgment; look for possible duplication, non-legal work that could be done by an assistant)</w:t>
      </w:r>
    </w:p>
    <w:p w:rsidR="0047264D" w:rsidRPr="00F500BB" w:rsidRDefault="0047264D" w:rsidP="0047264D">
      <w:pPr>
        <w:pStyle w:val="ListParagraph"/>
        <w:numPr>
          <w:ilvl w:val="0"/>
          <w:numId w:val="3"/>
        </w:numPr>
        <w:spacing w:after="0"/>
      </w:pPr>
      <w:r w:rsidRPr="00F500BB">
        <w:rPr>
          <w:i/>
        </w:rPr>
        <w:t xml:space="preserve">The novelty and difficulty of the question. </w:t>
      </w:r>
      <w:r w:rsidRPr="00F500BB">
        <w:t>(taking on cases of first impression should be rewarded)</w:t>
      </w:r>
    </w:p>
    <w:p w:rsidR="0047264D" w:rsidRPr="00F500BB" w:rsidRDefault="0047264D" w:rsidP="0047264D">
      <w:pPr>
        <w:pStyle w:val="ListParagraph"/>
        <w:numPr>
          <w:ilvl w:val="0"/>
          <w:numId w:val="3"/>
        </w:numPr>
        <w:spacing w:after="0"/>
      </w:pPr>
      <w:r w:rsidRPr="00F500BB">
        <w:rPr>
          <w:i/>
        </w:rPr>
        <w:t>Requisite skill.</w:t>
      </w:r>
      <w:r w:rsidRPr="00F500BB">
        <w:t xml:space="preserve"> (“The trial judge should closely observe the attorney’s work product, his preparation, and general ability before the court. The trial judge’s expertise gained from past experience as a lawyer and his observation from the bench of lawyers at work become highly important in this consideration.” (718))</w:t>
      </w:r>
    </w:p>
    <w:p w:rsidR="0047264D" w:rsidRPr="00F500BB" w:rsidRDefault="0047264D" w:rsidP="0047264D">
      <w:pPr>
        <w:pStyle w:val="ListParagraph"/>
        <w:numPr>
          <w:ilvl w:val="0"/>
          <w:numId w:val="3"/>
        </w:numPr>
        <w:spacing w:after="0"/>
      </w:pPr>
      <w:r w:rsidRPr="00F500BB">
        <w:rPr>
          <w:i/>
        </w:rPr>
        <w:t>Preclusion of other employment.</w:t>
      </w:r>
      <w:r w:rsidRPr="00F500BB">
        <w:t xml:space="preserve"> </w:t>
      </w:r>
    </w:p>
    <w:p w:rsidR="00F500BB" w:rsidRPr="00F500BB" w:rsidRDefault="0047264D" w:rsidP="00F500BB">
      <w:pPr>
        <w:pStyle w:val="ListParagraph"/>
        <w:numPr>
          <w:ilvl w:val="0"/>
          <w:numId w:val="3"/>
        </w:numPr>
        <w:spacing w:after="0"/>
      </w:pPr>
      <w:r w:rsidRPr="00F500BB">
        <w:rPr>
          <w:i/>
        </w:rPr>
        <w:t>Customary fee.</w:t>
      </w:r>
      <w:r w:rsidRPr="00F500BB">
        <w:t xml:space="preserve"> Must be above whatever is required by Criminal Justice Act &amp; whatever </w:t>
      </w:r>
      <w:proofErr w:type="gramStart"/>
      <w:r w:rsidRPr="00F500BB">
        <w:t>is minimum fee in the community</w:t>
      </w:r>
      <w:proofErr w:type="gramEnd"/>
      <w:r w:rsidRPr="00F500BB">
        <w:t>.</w:t>
      </w:r>
    </w:p>
    <w:p w:rsidR="0047264D" w:rsidRPr="00F500BB" w:rsidRDefault="0047264D" w:rsidP="00F500BB">
      <w:pPr>
        <w:pStyle w:val="ListParagraph"/>
        <w:numPr>
          <w:ilvl w:val="0"/>
          <w:numId w:val="3"/>
        </w:numPr>
        <w:spacing w:after="0"/>
      </w:pPr>
      <w:r w:rsidRPr="00F500BB">
        <w:rPr>
          <w:i/>
        </w:rPr>
        <w:t>Whether fee is fixed or contingent.</w:t>
      </w:r>
      <w:r w:rsidRPr="00F500BB">
        <w:t xml:space="preserve"> </w:t>
      </w:r>
      <w:r w:rsidR="00F500BB" w:rsidRPr="00F500BB">
        <w:rPr>
          <w:rFonts w:cstheme="minorHAnsi"/>
          <w:b/>
          <w:color w:val="FF0000"/>
        </w:rPr>
        <w:t xml:space="preserve">“In no event, however, should the litigant be awarded a fee greater than he is contractually bound to pay, if indeed the attorneys have contracted as to amount.” (488 F. 2d at 718)  </w:t>
      </w:r>
      <w:r w:rsidR="00F500BB" w:rsidRPr="00F500BB">
        <w:rPr>
          <w:color w:val="7030A0"/>
        </w:rPr>
        <w:sym w:font="Wingdings" w:char="F0DF"/>
      </w:r>
      <w:r w:rsidR="00F500BB" w:rsidRPr="00F500BB">
        <w:rPr>
          <w:rFonts w:cstheme="minorHAnsi"/>
          <w:b/>
          <w:color w:val="7030A0"/>
        </w:rPr>
        <w:t xml:space="preserve"> THIS PART WAS ABROGATED</w:t>
      </w:r>
    </w:p>
    <w:p w:rsidR="0047264D" w:rsidRPr="00F500BB" w:rsidRDefault="0047264D" w:rsidP="0047264D">
      <w:pPr>
        <w:pStyle w:val="ListParagraph"/>
        <w:numPr>
          <w:ilvl w:val="0"/>
          <w:numId w:val="3"/>
        </w:numPr>
        <w:spacing w:after="0"/>
      </w:pPr>
      <w:r w:rsidRPr="00F500BB">
        <w:rPr>
          <w:i/>
        </w:rPr>
        <w:t>Time limitations imposed by client or circumstances.</w:t>
      </w:r>
      <w:r w:rsidRPr="00F500BB">
        <w:t xml:space="preserve"> Premium for delaying other legal work.</w:t>
      </w:r>
    </w:p>
    <w:p w:rsidR="0047264D" w:rsidRPr="00F500BB" w:rsidRDefault="0047264D" w:rsidP="0047264D">
      <w:pPr>
        <w:pStyle w:val="ListParagraph"/>
        <w:numPr>
          <w:ilvl w:val="0"/>
          <w:numId w:val="3"/>
        </w:numPr>
        <w:spacing w:after="0"/>
      </w:pPr>
      <w:r w:rsidRPr="00F500BB">
        <w:rPr>
          <w:i/>
        </w:rPr>
        <w:t>Amount involved &amp; results obtained.</w:t>
      </w:r>
      <w:r w:rsidRPr="00F500BB">
        <w:t xml:space="preserve"> </w:t>
      </w:r>
    </w:p>
    <w:p w:rsidR="007A5F41" w:rsidRPr="00F500BB" w:rsidRDefault="007A5F41" w:rsidP="0047264D">
      <w:pPr>
        <w:pStyle w:val="ListParagraph"/>
        <w:numPr>
          <w:ilvl w:val="0"/>
          <w:numId w:val="3"/>
        </w:numPr>
        <w:spacing w:after="0"/>
      </w:pPr>
      <w:r w:rsidRPr="00F500BB">
        <w:rPr>
          <w:i/>
        </w:rPr>
        <w:t>Experience, reputation, and ability of the attorneys.</w:t>
      </w:r>
      <w:r w:rsidRPr="00F500BB">
        <w:t xml:space="preserve"> “Longevity </w:t>
      </w:r>
      <w:r w:rsidRPr="00F500BB">
        <w:rPr>
          <w:i/>
        </w:rPr>
        <w:t>per se</w:t>
      </w:r>
      <w:r w:rsidRPr="00F500BB">
        <w:t>, however, should not dictate the higher fee. If a young attorney demonstrates the skill and ability, he should not be penalized for only recently being admitted to the bar.” (719)</w:t>
      </w:r>
    </w:p>
    <w:p w:rsidR="007A5F41" w:rsidRPr="00F500BB" w:rsidRDefault="007A5F41" w:rsidP="0047264D">
      <w:pPr>
        <w:pStyle w:val="ListParagraph"/>
        <w:numPr>
          <w:ilvl w:val="0"/>
          <w:numId w:val="3"/>
        </w:numPr>
        <w:spacing w:after="0"/>
      </w:pPr>
      <w:r w:rsidRPr="00F500BB">
        <w:rPr>
          <w:i/>
        </w:rPr>
        <w:t xml:space="preserve">The ‘undesirability’ of the case. </w:t>
      </w:r>
      <w:r w:rsidRPr="00F500BB">
        <w:t>“Oftentimes his decision to help eradicate discrimination is not pleasantly received by the community or his contemporaries. This can have an economic impact on his practice which can be considered by the Court.” (719)</w:t>
      </w:r>
    </w:p>
    <w:p w:rsidR="007A5F41" w:rsidRPr="00F500BB" w:rsidRDefault="007A5F41" w:rsidP="0047264D">
      <w:pPr>
        <w:pStyle w:val="ListParagraph"/>
        <w:numPr>
          <w:ilvl w:val="0"/>
          <w:numId w:val="3"/>
        </w:numPr>
        <w:spacing w:after="0"/>
      </w:pPr>
      <w:r w:rsidRPr="00F500BB">
        <w:rPr>
          <w:i/>
        </w:rPr>
        <w:t>Nature and length of professional relationship with client.</w:t>
      </w:r>
      <w:r w:rsidRPr="00F500BB">
        <w:t xml:space="preserve"> Court can adjust as an attorney would if this is the case.</w:t>
      </w:r>
    </w:p>
    <w:p w:rsidR="007A5F41" w:rsidRPr="00F500BB" w:rsidRDefault="007A5F41" w:rsidP="0047264D">
      <w:pPr>
        <w:pStyle w:val="ListParagraph"/>
        <w:numPr>
          <w:ilvl w:val="0"/>
          <w:numId w:val="3"/>
        </w:numPr>
        <w:spacing w:after="0"/>
      </w:pPr>
      <w:r w:rsidRPr="00F500BB">
        <w:rPr>
          <w:i/>
        </w:rPr>
        <w:t>Awards in similar cases.</w:t>
      </w:r>
      <w:r w:rsidRPr="00F500BB">
        <w:t xml:space="preserve"> Comparing Title VII cases in this and other Circuits.</w:t>
      </w:r>
      <w:r w:rsidR="00A51F73" w:rsidRPr="00F500BB">
        <w:t xml:space="preserve"> (717-719)</w:t>
      </w:r>
    </w:p>
    <w:p w:rsidR="007A5F41" w:rsidRPr="00F500BB" w:rsidRDefault="007A5F41" w:rsidP="007A5F41">
      <w:pPr>
        <w:pStyle w:val="ListParagraph"/>
        <w:numPr>
          <w:ilvl w:val="0"/>
          <w:numId w:val="2"/>
        </w:numPr>
        <w:spacing w:after="0"/>
      </w:pPr>
      <w:r w:rsidRPr="00F500BB">
        <w:t>“To put these guidelines into perspective and as a caveat to their application, courts must remember that they do not have a mandate under Section 706(k) to make the prevailing counsel rich.” (719)</w:t>
      </w:r>
    </w:p>
    <w:p w:rsidR="007A5F41" w:rsidRPr="00F500BB" w:rsidRDefault="007A5F41" w:rsidP="007A5F41">
      <w:pPr>
        <w:pStyle w:val="ListParagraph"/>
        <w:numPr>
          <w:ilvl w:val="0"/>
          <w:numId w:val="2"/>
        </w:numPr>
        <w:spacing w:after="0"/>
      </w:pPr>
      <w:r w:rsidRPr="00F500BB">
        <w:t>“Adequate compensation is necessary, however, to enable an attorney to serve his client effectively and to preserve the integrity and independence of the profession.” (719-720)</w:t>
      </w:r>
    </w:p>
    <w:p w:rsidR="007A5F41" w:rsidRPr="00F500BB" w:rsidRDefault="007A5F41" w:rsidP="007A5F41">
      <w:pPr>
        <w:pStyle w:val="ListParagraph"/>
        <w:numPr>
          <w:ilvl w:val="0"/>
          <w:numId w:val="2"/>
        </w:numPr>
        <w:spacing w:after="0"/>
      </w:pPr>
      <w:r w:rsidRPr="00F500BB">
        <w:rPr>
          <w:b/>
        </w:rPr>
        <w:t xml:space="preserve">“The trial judge is necessarily called upon to question the time, expertise, and professional work of a lawyer which is always difficult and sometimes distasteful.” </w:t>
      </w:r>
      <w:r w:rsidRPr="00F500BB">
        <w:t>(720)</w:t>
      </w:r>
    </w:p>
    <w:p w:rsidR="007A5F41" w:rsidRPr="00F500BB" w:rsidRDefault="007A5F41" w:rsidP="007A5F41">
      <w:pPr>
        <w:pStyle w:val="ListParagraph"/>
        <w:numPr>
          <w:ilvl w:val="0"/>
          <w:numId w:val="2"/>
        </w:numPr>
        <w:spacing w:after="0"/>
      </w:pPr>
      <w:r w:rsidRPr="00F500BB">
        <w:rPr>
          <w:b/>
        </w:rPr>
        <w:t xml:space="preserve">“By this discussion we do not attempt to reduce the calculation of a reasonable fee to mathematical precision.” </w:t>
      </w:r>
      <w:r w:rsidRPr="00F500BB">
        <w:t>(720)</w:t>
      </w:r>
    </w:p>
    <w:p w:rsidR="00C87419" w:rsidRDefault="00C87419" w:rsidP="00C87419">
      <w:pPr>
        <w:spacing w:after="0"/>
        <w:rPr>
          <w:b/>
          <w:sz w:val="24"/>
          <w:szCs w:val="24"/>
        </w:rPr>
      </w:pPr>
    </w:p>
    <w:p w:rsidR="00E16E68" w:rsidRPr="00496F39" w:rsidRDefault="00E16E68" w:rsidP="00C87419">
      <w:pPr>
        <w:spacing w:after="0"/>
        <w:rPr>
          <w:sz w:val="24"/>
          <w:szCs w:val="24"/>
        </w:rPr>
      </w:pPr>
      <w:r>
        <w:rPr>
          <w:b/>
          <w:sz w:val="24"/>
          <w:szCs w:val="24"/>
        </w:rPr>
        <w:t>Commentary:</w:t>
      </w:r>
    </w:p>
    <w:p w:rsidR="00E16E68" w:rsidRPr="00711AF3" w:rsidRDefault="00711AF3" w:rsidP="00711AF3">
      <w:pPr>
        <w:pStyle w:val="ListParagraph"/>
        <w:numPr>
          <w:ilvl w:val="0"/>
          <w:numId w:val="1"/>
        </w:numPr>
        <w:spacing w:after="0"/>
        <w:rPr>
          <w:b/>
          <w:sz w:val="24"/>
          <w:szCs w:val="24"/>
        </w:rPr>
      </w:pPr>
      <w:r>
        <w:rPr>
          <w:b/>
          <w:sz w:val="24"/>
          <w:szCs w:val="24"/>
        </w:rPr>
        <w:t>Title VII of Civil Rights Act (1964):</w:t>
      </w:r>
      <w:r>
        <w:rPr>
          <w:sz w:val="24"/>
          <w:szCs w:val="24"/>
        </w:rPr>
        <w:t xml:space="preserve"> Employment discrimination</w:t>
      </w:r>
    </w:p>
    <w:sectPr w:rsidR="00E16E68" w:rsidRPr="00711AF3"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5197" w:rsidRDefault="00A45197" w:rsidP="00E16E68">
      <w:pPr>
        <w:spacing w:after="0" w:line="240" w:lineRule="auto"/>
      </w:pPr>
      <w:r>
        <w:separator/>
      </w:r>
    </w:p>
  </w:endnote>
  <w:endnote w:type="continuationSeparator" w:id="0">
    <w:p w:rsidR="00A45197" w:rsidRDefault="00A45197"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5197" w:rsidRDefault="00A45197" w:rsidP="00E16E68">
      <w:pPr>
        <w:spacing w:after="0" w:line="240" w:lineRule="auto"/>
      </w:pPr>
      <w:r>
        <w:separator/>
      </w:r>
    </w:p>
  </w:footnote>
  <w:footnote w:type="continuationSeparator" w:id="0">
    <w:p w:rsidR="00A45197" w:rsidRDefault="00A45197"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711AF3" w:rsidP="00711AF3">
    <w:pPr>
      <w:pStyle w:val="Header"/>
      <w:jc w:val="right"/>
    </w:pPr>
    <w:r>
      <w:t xml:space="preserve">Fifth </w:t>
    </w:r>
    <w:r w:rsidR="00496F39">
      <w:t>Circuit</w:t>
    </w:r>
    <w:r w:rsidR="0016476D">
      <w:t xml:space="preserve"> Court</w:t>
    </w:r>
    <w:r w:rsidR="00E16E68">
      <w:tab/>
    </w:r>
    <w:r>
      <w:t>1974</w:t>
    </w:r>
    <w:r w:rsidR="00E16E68">
      <w:tab/>
    </w:r>
    <w:r>
      <w:t>Johnson v. Georgia Highway Exp., Inc.</w:t>
    </w:r>
  </w:p>
  <w:p w:rsidR="00552EC4" w:rsidRDefault="00552EC4" w:rsidP="00552EC4">
    <w:pPr>
      <w:pStyle w:val="Header"/>
      <w:jc w:val="right"/>
    </w:pPr>
    <w:r>
      <w:tab/>
    </w:r>
    <w:r>
      <w:tab/>
    </w:r>
    <w:r w:rsidR="00711AF3">
      <w:t>ATTORNEY FEES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450185"/>
    <w:multiLevelType w:val="hybridMultilevel"/>
    <w:tmpl w:val="B15A4108"/>
    <w:lvl w:ilvl="0" w:tplc="843092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4149513B"/>
    <w:multiLevelType w:val="hybridMultilevel"/>
    <w:tmpl w:val="D61EBC8E"/>
    <w:lvl w:ilvl="0" w:tplc="C908E1BE">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CC43981"/>
    <w:multiLevelType w:val="hybridMultilevel"/>
    <w:tmpl w:val="C0BC94D6"/>
    <w:lvl w:ilvl="0" w:tplc="A1D273BE">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647070D"/>
    <w:multiLevelType w:val="hybridMultilevel"/>
    <w:tmpl w:val="B512F9E2"/>
    <w:lvl w:ilvl="0" w:tplc="B4EC527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144D3B"/>
    <w:rsid w:val="0016476D"/>
    <w:rsid w:val="002479B3"/>
    <w:rsid w:val="003E5947"/>
    <w:rsid w:val="00457D27"/>
    <w:rsid w:val="00472549"/>
    <w:rsid w:val="0047264D"/>
    <w:rsid w:val="00496F39"/>
    <w:rsid w:val="004B2F4F"/>
    <w:rsid w:val="00552EC4"/>
    <w:rsid w:val="0063698D"/>
    <w:rsid w:val="006943CE"/>
    <w:rsid w:val="00710EA3"/>
    <w:rsid w:val="00711AF3"/>
    <w:rsid w:val="0072293C"/>
    <w:rsid w:val="007A5F41"/>
    <w:rsid w:val="007D1AC2"/>
    <w:rsid w:val="00A45197"/>
    <w:rsid w:val="00A51F73"/>
    <w:rsid w:val="00B264A0"/>
    <w:rsid w:val="00B5532F"/>
    <w:rsid w:val="00B564E2"/>
    <w:rsid w:val="00B778D1"/>
    <w:rsid w:val="00C87419"/>
    <w:rsid w:val="00D12E04"/>
    <w:rsid w:val="00D66735"/>
    <w:rsid w:val="00E16E68"/>
    <w:rsid w:val="00E2134E"/>
    <w:rsid w:val="00F500B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11AF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797</Words>
  <Characters>4547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5</cp:revision>
  <cp:lastPrinted>2019-06-01T20:25:00Z</cp:lastPrinted>
  <dcterms:created xsi:type="dcterms:W3CDTF">2019-06-01T20:16:00Z</dcterms:created>
  <dcterms:modified xsi:type="dcterms:W3CDTF">2019-06-01T21:58:00Z</dcterms:modified>
</cp:coreProperties>
</file>