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C5A16F" w14:textId="3A621A84" w:rsidR="00E67ED4" w:rsidRPr="000B55AF" w:rsidRDefault="002C47FC" w:rsidP="000B55AF">
      <w:pPr>
        <w:jc w:val="center"/>
        <w:rPr>
          <w:rFonts w:ascii="Times New Roman" w:hAnsi="Times New Roman" w:cs="Times New Roman"/>
          <w:sz w:val="24"/>
          <w:szCs w:val="24"/>
        </w:rPr>
      </w:pPr>
      <w:r>
        <w:rPr>
          <w:rFonts w:ascii="Times New Roman" w:hAnsi="Times New Roman" w:cs="Times New Roman"/>
          <w:b/>
          <w:bCs/>
          <w:smallCaps/>
          <w:sz w:val="24"/>
          <w:szCs w:val="24"/>
          <w:u w:val="single"/>
        </w:rPr>
        <w:t>Administrative Closure Summary</w:t>
      </w:r>
    </w:p>
    <w:p w14:paraId="33A318CB" w14:textId="12FAE2FD" w:rsidR="002C47FC" w:rsidRDefault="002C47FC" w:rsidP="002C47FC">
      <w:pPr>
        <w:rPr>
          <w:rFonts w:ascii="Times New Roman" w:hAnsi="Times New Roman" w:cs="Times New Roman"/>
          <w:smallCaps/>
          <w:sz w:val="24"/>
          <w:szCs w:val="24"/>
        </w:rPr>
      </w:pPr>
    </w:p>
    <w:p w14:paraId="37A7DF57" w14:textId="0BBBCF12" w:rsidR="006E77A6" w:rsidRDefault="006E77A6"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Up until 2018, administrative closure was a docket management tool used by IJs and the BIA to temporarily pause proceedings in a case and remove it from the active docket. It’s sometimes a more appropriate tool than continuances, which are intended for only a short duration, pending the action of one or both parties. Administrative closure </w:t>
      </w:r>
      <w:proofErr w:type="gramStart"/>
      <w:r>
        <w:rPr>
          <w:rFonts w:ascii="Times New Roman" w:hAnsi="Times New Roman" w:cs="Times New Roman"/>
          <w:sz w:val="24"/>
          <w:szCs w:val="24"/>
        </w:rPr>
        <w:t>takes into account</w:t>
      </w:r>
      <w:proofErr w:type="gramEnd"/>
      <w:r>
        <w:rPr>
          <w:rFonts w:ascii="Times New Roman" w:hAnsi="Times New Roman" w:cs="Times New Roman"/>
          <w:sz w:val="24"/>
          <w:szCs w:val="24"/>
        </w:rPr>
        <w:t xml:space="preserve"> the indefinite delays caused by processes outside the control of either party (such as alternative pending immigration proceedings).</w:t>
      </w:r>
    </w:p>
    <w:p w14:paraId="3F038AC7" w14:textId="0C107051" w:rsidR="006E77A6" w:rsidRDefault="006E77A6"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With </w:t>
      </w:r>
      <w:r>
        <w:rPr>
          <w:rFonts w:ascii="Times New Roman" w:hAnsi="Times New Roman" w:cs="Times New Roman"/>
          <w:i/>
          <w:iCs/>
          <w:sz w:val="24"/>
          <w:szCs w:val="24"/>
        </w:rPr>
        <w:t>Castro-Tum</w:t>
      </w:r>
      <w:r>
        <w:rPr>
          <w:rFonts w:ascii="Times New Roman" w:hAnsi="Times New Roman" w:cs="Times New Roman"/>
          <w:sz w:val="24"/>
          <w:szCs w:val="24"/>
        </w:rPr>
        <w:t>, this changed. A.G. Barr held that administrative closure</w:t>
      </w:r>
      <w:r w:rsidR="008B7127">
        <w:rPr>
          <w:rFonts w:ascii="Times New Roman" w:hAnsi="Times New Roman" w:cs="Times New Roman"/>
          <w:sz w:val="24"/>
          <w:szCs w:val="24"/>
        </w:rPr>
        <w:t xml:space="preserve"> inherently</w:t>
      </w:r>
      <w:r>
        <w:rPr>
          <w:rFonts w:ascii="Times New Roman" w:hAnsi="Times New Roman" w:cs="Times New Roman"/>
          <w:sz w:val="24"/>
          <w:szCs w:val="24"/>
        </w:rPr>
        <w:t xml:space="preserve"> </w:t>
      </w:r>
      <w:r w:rsidR="008B7127">
        <w:rPr>
          <w:rFonts w:ascii="Times New Roman" w:hAnsi="Times New Roman" w:cs="Times New Roman"/>
          <w:sz w:val="24"/>
          <w:szCs w:val="24"/>
        </w:rPr>
        <w:t>prevents IJs and the Board from resolving cases in a timely fashion, and that the relevant regulations did not confer this authority on adjudicators.</w:t>
      </w:r>
    </w:p>
    <w:p w14:paraId="3DE2C313" w14:textId="21BF0176" w:rsidR="002C47FC" w:rsidRDefault="002C47FC"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The Fourth Circuit’s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(Aug. 29, 2019) held that </w:t>
      </w:r>
      <w:r>
        <w:rPr>
          <w:rFonts w:ascii="Times New Roman" w:hAnsi="Times New Roman" w:cs="Times New Roman"/>
          <w:i/>
          <w:iCs/>
          <w:sz w:val="24"/>
          <w:szCs w:val="24"/>
        </w:rPr>
        <w:t>Matter of Castro-Tum</w:t>
      </w:r>
      <w:r>
        <w:rPr>
          <w:rFonts w:ascii="Times New Roman" w:hAnsi="Times New Roman" w:cs="Times New Roman"/>
          <w:sz w:val="24"/>
          <w:szCs w:val="24"/>
        </w:rPr>
        <w:t xml:space="preserve"> (A.G. 2018) was wrongly decided</w:t>
      </w:r>
      <w:r w:rsidR="006B3DEF">
        <w:rPr>
          <w:rFonts w:ascii="Times New Roman" w:hAnsi="Times New Roman" w:cs="Times New Roman"/>
          <w:sz w:val="24"/>
          <w:szCs w:val="24"/>
        </w:rPr>
        <w:t xml:space="preserve">, first because the A.G. incorrectly concluded that the relevant regulations were ambiguous, and second because (even </w:t>
      </w:r>
      <w:r w:rsidR="006B3DEF" w:rsidRPr="006B3DEF">
        <w:rPr>
          <w:rFonts w:ascii="Times New Roman" w:hAnsi="Times New Roman" w:cs="Times New Roman"/>
          <w:sz w:val="24"/>
          <w:szCs w:val="24"/>
        </w:rPr>
        <w:t xml:space="preserve">if they </w:t>
      </w:r>
      <w:r w:rsidR="006B3DEF" w:rsidRPr="006B3DEF">
        <w:rPr>
          <w:rFonts w:ascii="Times New Roman" w:hAnsi="Times New Roman" w:cs="Times New Roman"/>
          <w:i/>
          <w:iCs/>
          <w:sz w:val="24"/>
          <w:szCs w:val="24"/>
        </w:rPr>
        <w:t>were</w:t>
      </w:r>
      <w:r w:rsidR="006B3DEF">
        <w:rPr>
          <w:rFonts w:ascii="Times New Roman" w:hAnsi="Times New Roman" w:cs="Times New Roman"/>
          <w:sz w:val="24"/>
          <w:szCs w:val="24"/>
        </w:rPr>
        <w:t xml:space="preserve"> ambiguous) the A.G.’s interpretations represented an abrupt departure from </w:t>
      </w:r>
      <w:r w:rsidR="006E77A6">
        <w:rPr>
          <w:rFonts w:ascii="Times New Roman" w:hAnsi="Times New Roman" w:cs="Times New Roman"/>
          <w:sz w:val="24"/>
          <w:szCs w:val="24"/>
        </w:rPr>
        <w:t xml:space="preserve">the </w:t>
      </w:r>
      <w:r w:rsidR="006B3DEF">
        <w:rPr>
          <w:rFonts w:ascii="Times New Roman" w:hAnsi="Times New Roman" w:cs="Times New Roman"/>
          <w:sz w:val="24"/>
          <w:szCs w:val="24"/>
        </w:rPr>
        <w:t>longstanding practice of immigration courts and the BIA.</w:t>
      </w:r>
    </w:p>
    <w:p w14:paraId="72F85B9F" w14:textId="22944FE3" w:rsidR="006B3DEF" w:rsidRDefault="006B3DEF"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The Fourth Circuit affirmed previous BIA practice and opinions which held that administrative closure is among the “appropriate and necessary” actions that IJs or BIA members could take for the efficient disposition of a case</w:t>
      </w:r>
      <w:r w:rsidR="006E77A6">
        <w:rPr>
          <w:rFonts w:ascii="Times New Roman" w:hAnsi="Times New Roman" w:cs="Times New Roman"/>
          <w:sz w:val="24"/>
          <w:szCs w:val="24"/>
        </w:rPr>
        <w:t xml:space="preserve">, according to </w:t>
      </w:r>
      <w:r w:rsidR="006E77A6" w:rsidRPr="006E77A6">
        <w:rPr>
          <w:rStyle w:val="Strong"/>
          <w:rFonts w:ascii="Times New Roman" w:hAnsi="Times New Roman" w:cs="Times New Roman"/>
          <w:b w:val="0"/>
          <w:bCs w:val="0"/>
          <w:color w:val="000000"/>
          <w:sz w:val="24"/>
          <w:szCs w:val="24"/>
          <w:shd w:val="clear" w:color="auto" w:fill="FFFFFF"/>
        </w:rPr>
        <w:t>8 C.F.R. § 1003.10(b)</w:t>
      </w:r>
      <w:r w:rsidR="006E77A6" w:rsidRPr="006E77A6">
        <w:rPr>
          <w:rFonts w:ascii="Times New Roman" w:hAnsi="Times New Roman" w:cs="Times New Roman"/>
          <w:b/>
          <w:bCs/>
          <w:color w:val="000000"/>
          <w:sz w:val="24"/>
          <w:szCs w:val="24"/>
          <w:shd w:val="clear" w:color="auto" w:fill="FFFFFF"/>
        </w:rPr>
        <w:t> </w:t>
      </w:r>
      <w:r w:rsidR="006E77A6" w:rsidRPr="006E77A6">
        <w:rPr>
          <w:rFonts w:ascii="Times New Roman" w:hAnsi="Times New Roman" w:cs="Times New Roman"/>
          <w:color w:val="000000"/>
          <w:sz w:val="24"/>
          <w:szCs w:val="24"/>
          <w:shd w:val="clear" w:color="auto" w:fill="FFFFFF"/>
        </w:rPr>
        <w:t>and</w:t>
      </w:r>
      <w:r w:rsidR="006E77A6" w:rsidRPr="006E77A6">
        <w:rPr>
          <w:rFonts w:ascii="Times New Roman" w:hAnsi="Times New Roman" w:cs="Times New Roman"/>
          <w:b/>
          <w:bCs/>
          <w:color w:val="000000"/>
          <w:sz w:val="24"/>
          <w:szCs w:val="24"/>
          <w:shd w:val="clear" w:color="auto" w:fill="FFFFFF"/>
        </w:rPr>
        <w:t xml:space="preserve"> </w:t>
      </w:r>
      <w:r w:rsidR="006E77A6" w:rsidRPr="006E77A6">
        <w:rPr>
          <w:rStyle w:val="Strong"/>
          <w:rFonts w:ascii="Times New Roman" w:hAnsi="Times New Roman" w:cs="Times New Roman"/>
          <w:b w:val="0"/>
          <w:bCs w:val="0"/>
          <w:color w:val="000000"/>
          <w:sz w:val="24"/>
          <w:szCs w:val="24"/>
          <w:shd w:val="clear" w:color="auto" w:fill="FFFFFF"/>
        </w:rPr>
        <w:t>8 C.F.R. § 1003.1(d)(1)(ii), respectively</w:t>
      </w:r>
      <w:r>
        <w:rPr>
          <w:rFonts w:ascii="Times New Roman" w:hAnsi="Times New Roman" w:cs="Times New Roman"/>
          <w:sz w:val="24"/>
          <w:szCs w:val="24"/>
        </w:rPr>
        <w:t xml:space="preserve">. </w:t>
      </w:r>
    </w:p>
    <w:p w14:paraId="2EC97402" w14:textId="2D15896F" w:rsidR="006E77A6" w:rsidRDefault="006E77A6"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The most significant of the BIA’s previous cases on this topic is </w:t>
      </w:r>
      <w:r>
        <w:rPr>
          <w:rFonts w:ascii="Times New Roman" w:hAnsi="Times New Roman" w:cs="Times New Roman"/>
          <w:i/>
          <w:iCs/>
          <w:sz w:val="24"/>
          <w:szCs w:val="24"/>
        </w:rPr>
        <w:t>Matter of Avetisyan</w:t>
      </w:r>
      <w:r>
        <w:rPr>
          <w:rFonts w:ascii="Times New Roman" w:hAnsi="Times New Roman" w:cs="Times New Roman"/>
          <w:sz w:val="24"/>
          <w:szCs w:val="24"/>
        </w:rPr>
        <w:t>, 25 I&amp;N Dec. 688 (BIA 2012), which affirmed that administrative closure is (contrary to A.G. Barr’s opinion) one of the ways judges may expeditiously resolve certain immigration matters.</w:t>
      </w:r>
    </w:p>
    <w:p w14:paraId="38A55D11" w14:textId="77777777" w:rsidR="003E0D4F" w:rsidRDefault="003E0D4F"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In </w:t>
      </w:r>
      <w:r>
        <w:rPr>
          <w:rFonts w:ascii="Times New Roman" w:hAnsi="Times New Roman" w:cs="Times New Roman"/>
          <w:i/>
          <w:iCs/>
          <w:sz w:val="24"/>
          <w:szCs w:val="24"/>
        </w:rPr>
        <w:t>Avetisyan</w:t>
      </w:r>
      <w:r>
        <w:rPr>
          <w:rFonts w:ascii="Times New Roman" w:hAnsi="Times New Roman" w:cs="Times New Roman"/>
          <w:sz w:val="24"/>
          <w:szCs w:val="24"/>
        </w:rPr>
        <w:t xml:space="preserve">, we have a quintessential example of why administrative closure is at times a more appropriate tool than its counterpart, the continuance. While both essentially pause a case while an action is pending, a continuance is meant to grant a short respite while one or both parties accomplishes a required task. In contrast, administrative closure allows a case to be set aside indefinitely from the active docket, pending the resolution of actions that are outside either party’s control, such as the adjudication of immigration applications apart from removal proceedings. </w:t>
      </w:r>
    </w:p>
    <w:p w14:paraId="2E463B9F" w14:textId="27A64FC8" w:rsidR="003E0D4F" w:rsidRDefault="003E0D4F"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The respondent in </w:t>
      </w:r>
      <w:r>
        <w:rPr>
          <w:rFonts w:ascii="Times New Roman" w:hAnsi="Times New Roman" w:cs="Times New Roman"/>
          <w:i/>
          <w:iCs/>
          <w:sz w:val="24"/>
          <w:szCs w:val="24"/>
        </w:rPr>
        <w:t>Avetisyan</w:t>
      </w:r>
      <w:r>
        <w:rPr>
          <w:rFonts w:ascii="Times New Roman" w:hAnsi="Times New Roman" w:cs="Times New Roman"/>
          <w:sz w:val="24"/>
          <w:szCs w:val="24"/>
        </w:rPr>
        <w:t xml:space="preserve">, after </w:t>
      </w:r>
      <w:r>
        <w:rPr>
          <w:rFonts w:ascii="Times New Roman" w:hAnsi="Times New Roman" w:cs="Times New Roman"/>
          <w:i/>
          <w:iCs/>
          <w:sz w:val="24"/>
          <w:szCs w:val="24"/>
        </w:rPr>
        <w:t>ten</w:t>
      </w:r>
      <w:r>
        <w:rPr>
          <w:rFonts w:ascii="Times New Roman" w:hAnsi="Times New Roman" w:cs="Times New Roman"/>
          <w:sz w:val="24"/>
          <w:szCs w:val="24"/>
        </w:rPr>
        <w:t xml:space="preserve"> continuances in immigration court made necessary by her husband’s naturalization proceedings, requested and finally was granted administrative closure of her case. The DHS appealed to the BIA, and the BIA affirmed the IJ’s decision. </w:t>
      </w:r>
    </w:p>
    <w:p w14:paraId="63E58EBE" w14:textId="5BDE9FA6" w:rsidR="007B1E17" w:rsidRDefault="003E0D4F"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Significantly, </w:t>
      </w:r>
      <w:r>
        <w:rPr>
          <w:rFonts w:ascii="Times New Roman" w:hAnsi="Times New Roman" w:cs="Times New Roman"/>
          <w:i/>
          <w:iCs/>
          <w:sz w:val="24"/>
          <w:szCs w:val="24"/>
        </w:rPr>
        <w:t>Avetisyan</w:t>
      </w:r>
      <w:r>
        <w:rPr>
          <w:rFonts w:ascii="Times New Roman" w:hAnsi="Times New Roman" w:cs="Times New Roman"/>
          <w:sz w:val="24"/>
          <w:szCs w:val="24"/>
        </w:rPr>
        <w:t xml:space="preserve"> did not address the question of whether administrative closure was an </w:t>
      </w:r>
      <w:r w:rsidRPr="003E0D4F">
        <w:rPr>
          <w:rFonts w:ascii="Times New Roman" w:hAnsi="Times New Roman" w:cs="Times New Roman"/>
          <w:i/>
          <w:iCs/>
          <w:sz w:val="24"/>
          <w:szCs w:val="24"/>
        </w:rPr>
        <w:t>appropriate</w:t>
      </w:r>
      <w:r>
        <w:rPr>
          <w:rFonts w:ascii="Times New Roman" w:hAnsi="Times New Roman" w:cs="Times New Roman"/>
          <w:sz w:val="24"/>
          <w:szCs w:val="24"/>
        </w:rPr>
        <w:t xml:space="preserve"> tool for IJs or Board members</w:t>
      </w:r>
      <w:r w:rsidR="007B1E17">
        <w:rPr>
          <w:rFonts w:ascii="Times New Roman" w:hAnsi="Times New Roman" w:cs="Times New Roman"/>
          <w:sz w:val="24"/>
          <w:szCs w:val="24"/>
        </w:rPr>
        <w:t xml:space="preserve"> to use</w:t>
      </w:r>
      <w:r>
        <w:rPr>
          <w:rFonts w:ascii="Times New Roman" w:hAnsi="Times New Roman" w:cs="Times New Roman"/>
          <w:sz w:val="24"/>
          <w:szCs w:val="24"/>
        </w:rPr>
        <w:t>. In fact, this decision emphasizes that IJs and the Board are authorized by statute to exercise discernment in dealing with cases, and administrative closure is</w:t>
      </w:r>
      <w:r w:rsidR="007B1E17">
        <w:rPr>
          <w:rFonts w:ascii="Times New Roman" w:hAnsi="Times New Roman" w:cs="Times New Roman"/>
          <w:sz w:val="24"/>
          <w:szCs w:val="24"/>
        </w:rPr>
        <w:t xml:space="preserve"> simply</w:t>
      </w:r>
      <w:r>
        <w:rPr>
          <w:rFonts w:ascii="Times New Roman" w:hAnsi="Times New Roman" w:cs="Times New Roman"/>
          <w:sz w:val="24"/>
          <w:szCs w:val="24"/>
        </w:rPr>
        <w:t xml:space="preserve"> </w:t>
      </w:r>
      <w:r w:rsidRPr="007B1E17">
        <w:rPr>
          <w:rFonts w:ascii="Times New Roman" w:hAnsi="Times New Roman" w:cs="Times New Roman"/>
          <w:i/>
          <w:iCs/>
          <w:sz w:val="24"/>
          <w:szCs w:val="24"/>
        </w:rPr>
        <w:t>assumed</w:t>
      </w:r>
      <w:r>
        <w:rPr>
          <w:rFonts w:ascii="Times New Roman" w:hAnsi="Times New Roman" w:cs="Times New Roman"/>
          <w:sz w:val="24"/>
          <w:szCs w:val="24"/>
        </w:rPr>
        <w:t xml:space="preserve"> to be one of the tools that they have at their disposal.</w:t>
      </w:r>
      <w:r w:rsidR="007B1E17">
        <w:rPr>
          <w:rFonts w:ascii="Times New Roman" w:hAnsi="Times New Roman" w:cs="Times New Roman"/>
          <w:sz w:val="24"/>
          <w:szCs w:val="24"/>
        </w:rPr>
        <w:t xml:space="preserve"> </w:t>
      </w:r>
    </w:p>
    <w:p w14:paraId="324F7AC8" w14:textId="2D04212D" w:rsidR="003E0D4F" w:rsidRDefault="007B1E17" w:rsidP="006B3DEF">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 xml:space="preserve">In fact, in keeping with this theme of judicial autonomy in the immigration context, the </w:t>
      </w:r>
      <w:r>
        <w:rPr>
          <w:rFonts w:ascii="Times New Roman" w:hAnsi="Times New Roman" w:cs="Times New Roman"/>
          <w:i/>
          <w:iCs/>
          <w:sz w:val="24"/>
          <w:szCs w:val="24"/>
        </w:rPr>
        <w:t>Avetisyan</w:t>
      </w:r>
      <w:r>
        <w:rPr>
          <w:rFonts w:ascii="Times New Roman" w:hAnsi="Times New Roman" w:cs="Times New Roman"/>
          <w:sz w:val="24"/>
          <w:szCs w:val="24"/>
        </w:rPr>
        <w:t xml:space="preserve"> panel overruled the BIA’s previous holding in </w:t>
      </w:r>
      <w:r w:rsidRPr="007B1E17">
        <w:rPr>
          <w:rFonts w:ascii="Times New Roman" w:hAnsi="Times New Roman" w:cs="Times New Roman"/>
          <w:bCs/>
          <w:i/>
          <w:iCs/>
          <w:sz w:val="24"/>
          <w:szCs w:val="24"/>
        </w:rPr>
        <w:t>Matter of Gutierrez</w:t>
      </w:r>
      <w:r w:rsidRPr="007B1E17">
        <w:rPr>
          <w:rFonts w:ascii="Times New Roman" w:hAnsi="Times New Roman" w:cs="Times New Roman"/>
          <w:bCs/>
          <w:sz w:val="24"/>
          <w:szCs w:val="24"/>
        </w:rPr>
        <w:t>, 21 I&amp;N Dec. 479 (BIA 1996)</w:t>
      </w:r>
      <w:r>
        <w:rPr>
          <w:rFonts w:ascii="Times New Roman" w:hAnsi="Times New Roman" w:cs="Times New Roman"/>
          <w:bCs/>
          <w:sz w:val="24"/>
          <w:szCs w:val="24"/>
        </w:rPr>
        <w:t xml:space="preserve">, which had allowed either party—typically the DHS—to unilaterally veto a judge’s decision to administratively close a case. </w:t>
      </w:r>
      <w:r>
        <w:rPr>
          <w:rFonts w:ascii="Times New Roman" w:hAnsi="Times New Roman" w:cs="Times New Roman"/>
          <w:bCs/>
          <w:i/>
          <w:iCs/>
          <w:sz w:val="24"/>
          <w:szCs w:val="24"/>
        </w:rPr>
        <w:t>Avetisyan</w:t>
      </w:r>
      <w:r>
        <w:rPr>
          <w:rFonts w:ascii="Times New Roman" w:hAnsi="Times New Roman" w:cs="Times New Roman"/>
          <w:bCs/>
          <w:sz w:val="24"/>
          <w:szCs w:val="24"/>
        </w:rPr>
        <w:t xml:space="preserve"> restored judicial independence in this area by holding that so long as administrative closure is the appropriate choice in a case, IJs and the Board may use it, even over a party’s objection.</w:t>
      </w:r>
    </w:p>
    <w:p w14:paraId="31F73F48" w14:textId="7543862B" w:rsidR="00EB3EFF" w:rsidRDefault="00EB3EFF">
      <w:pPr>
        <w:rPr>
          <w:rFonts w:ascii="Times New Roman" w:hAnsi="Times New Roman" w:cs="Times New Roman"/>
          <w:sz w:val="24"/>
          <w:szCs w:val="24"/>
        </w:rPr>
      </w:pPr>
      <w:r>
        <w:rPr>
          <w:rFonts w:ascii="Times New Roman" w:hAnsi="Times New Roman" w:cs="Times New Roman"/>
          <w:sz w:val="24"/>
          <w:szCs w:val="24"/>
        </w:rPr>
        <w:br w:type="page"/>
      </w:r>
    </w:p>
    <w:p w14:paraId="38BE415E" w14:textId="77777777" w:rsidR="00EB3EFF" w:rsidRPr="00FF1EAA" w:rsidRDefault="00EB3EFF" w:rsidP="00EB3EFF">
      <w:pPr>
        <w:jc w:val="center"/>
        <w:rPr>
          <w:rFonts w:ascii="Times New Roman" w:hAnsi="Times New Roman" w:cs="Times New Roman"/>
          <w:b/>
          <w:sz w:val="24"/>
          <w:szCs w:val="24"/>
        </w:rPr>
      </w:pPr>
      <w:r w:rsidRPr="00FF1EAA">
        <w:rPr>
          <w:rFonts w:ascii="Times New Roman" w:hAnsi="Times New Roman" w:cs="Times New Roman"/>
          <w:b/>
          <w:sz w:val="24"/>
          <w:szCs w:val="24"/>
        </w:rPr>
        <w:lastRenderedPageBreak/>
        <w:t>Immigration Court: BIA</w:t>
      </w:r>
    </w:p>
    <w:p w14:paraId="75DE8438" w14:textId="77777777" w:rsidR="00EB3EFF" w:rsidRPr="00FF1EAA" w:rsidRDefault="00EB3EFF" w:rsidP="00EB3EFF">
      <w:pPr>
        <w:rPr>
          <w:rFonts w:ascii="Times New Roman" w:hAnsi="Times New Roman" w:cs="Times New Roman"/>
          <w:bCs/>
          <w:sz w:val="24"/>
          <w:szCs w:val="24"/>
        </w:rPr>
      </w:pPr>
      <w:r w:rsidRPr="00FF1EAA">
        <w:rPr>
          <w:rFonts w:ascii="Times New Roman" w:hAnsi="Times New Roman" w:cs="Times New Roman"/>
          <w:b/>
          <w:sz w:val="24"/>
          <w:szCs w:val="24"/>
        </w:rPr>
        <w:t xml:space="preserve">Case: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25 I&amp;N Dec. 688 (BIA 2012)</w:t>
      </w:r>
      <w:r w:rsidRPr="00FF1EAA">
        <w:rPr>
          <w:rFonts w:ascii="Times New Roman" w:hAnsi="Times New Roman" w:cs="Times New Roman"/>
          <w:b/>
          <w:sz w:val="24"/>
          <w:szCs w:val="24"/>
        </w:rPr>
        <w:tab/>
        <w:t>Date:</w:t>
      </w:r>
      <w:r w:rsidRPr="00FF1EAA">
        <w:rPr>
          <w:rFonts w:ascii="Times New Roman" w:hAnsi="Times New Roman" w:cs="Times New Roman"/>
          <w:bCs/>
          <w:sz w:val="24"/>
          <w:szCs w:val="24"/>
        </w:rPr>
        <w:t xml:space="preserve"> January 31, 2012</w:t>
      </w:r>
    </w:p>
    <w:p w14:paraId="748346B6" w14:textId="77777777" w:rsidR="00EB3EFF" w:rsidRPr="00FF1EAA" w:rsidRDefault="00EB3EFF" w:rsidP="00EB3EFF">
      <w:pPr>
        <w:rPr>
          <w:rFonts w:ascii="Times New Roman" w:hAnsi="Times New Roman" w:cs="Times New Roman"/>
          <w:b/>
          <w:sz w:val="24"/>
          <w:szCs w:val="24"/>
        </w:rPr>
      </w:pPr>
      <w:r w:rsidRPr="00FF1EAA">
        <w:rPr>
          <w:rFonts w:ascii="Times New Roman" w:hAnsi="Times New Roman" w:cs="Times New Roman"/>
          <w:b/>
          <w:sz w:val="24"/>
          <w:szCs w:val="24"/>
        </w:rPr>
        <w:t>Adjudicated by:</w:t>
      </w:r>
      <w:r w:rsidRPr="00FF1EAA">
        <w:rPr>
          <w:rFonts w:ascii="Times New Roman" w:hAnsi="Times New Roman" w:cs="Times New Roman"/>
          <w:bCs/>
          <w:sz w:val="24"/>
          <w:szCs w:val="24"/>
        </w:rPr>
        <w:t xml:space="preserve"> Panel: Miller, Adkins-Blanch, </w:t>
      </w:r>
      <w:proofErr w:type="spellStart"/>
      <w:r w:rsidRPr="00FF1EAA">
        <w:rPr>
          <w:rFonts w:ascii="Times New Roman" w:hAnsi="Times New Roman" w:cs="Times New Roman"/>
          <w:bCs/>
          <w:sz w:val="24"/>
          <w:szCs w:val="24"/>
        </w:rPr>
        <w:t>Guendelsberger</w:t>
      </w:r>
      <w:proofErr w:type="spellEnd"/>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r w:rsidRPr="00FF1EAA">
        <w:rPr>
          <w:rFonts w:ascii="Times New Roman" w:hAnsi="Times New Roman" w:cs="Times New Roman"/>
          <w:b/>
          <w:sz w:val="24"/>
          <w:szCs w:val="24"/>
        </w:rPr>
        <w:tab/>
      </w:r>
    </w:p>
    <w:p w14:paraId="6B3CA362" w14:textId="77777777" w:rsidR="00EB3EFF" w:rsidRPr="00FF1EAA" w:rsidRDefault="00EB3EFF" w:rsidP="00EB3EFF">
      <w:pPr>
        <w:rPr>
          <w:rFonts w:ascii="Times New Roman" w:hAnsi="Times New Roman" w:cs="Times New Roman"/>
          <w:bCs/>
          <w:sz w:val="24"/>
          <w:szCs w:val="24"/>
        </w:rPr>
      </w:pPr>
      <w:r w:rsidRPr="00FF1EAA">
        <w:rPr>
          <w:rFonts w:ascii="Times New Roman" w:hAnsi="Times New Roman" w:cs="Times New Roman"/>
          <w:b/>
          <w:sz w:val="24"/>
          <w:szCs w:val="24"/>
        </w:rPr>
        <w:t>Opinion:</w:t>
      </w:r>
      <w:r w:rsidRPr="00FF1EAA">
        <w:rPr>
          <w:rFonts w:ascii="Times New Roman" w:hAnsi="Times New Roman" w:cs="Times New Roman"/>
          <w:bCs/>
          <w:sz w:val="24"/>
          <w:szCs w:val="24"/>
        </w:rPr>
        <w:t xml:space="preserve"> Miller</w:t>
      </w:r>
    </w:p>
    <w:p w14:paraId="1054DCC4" w14:textId="77777777" w:rsidR="00EB3EFF" w:rsidRPr="00FF1EAA" w:rsidRDefault="00EB3EFF" w:rsidP="00EB3EFF">
      <w:pPr>
        <w:spacing w:after="0"/>
        <w:rPr>
          <w:rFonts w:ascii="Times New Roman" w:hAnsi="Times New Roman" w:cs="Times New Roman"/>
          <w:bCs/>
          <w:sz w:val="24"/>
          <w:szCs w:val="24"/>
        </w:rPr>
      </w:pPr>
      <w:r w:rsidRPr="00FF1EAA">
        <w:rPr>
          <w:rFonts w:ascii="Times New Roman" w:hAnsi="Times New Roman" w:cs="Times New Roman"/>
          <w:b/>
          <w:sz w:val="24"/>
          <w:szCs w:val="24"/>
        </w:rPr>
        <w:t>Tags:</w:t>
      </w:r>
      <w:r w:rsidRPr="00FF1EAA">
        <w:rPr>
          <w:rFonts w:ascii="Times New Roman" w:hAnsi="Times New Roman" w:cs="Times New Roman"/>
          <w:bCs/>
          <w:sz w:val="24"/>
          <w:szCs w:val="24"/>
        </w:rPr>
        <w:t xml:space="preserve"> Immigration, Administrative Closure, IJs, BIA, opposing party</w:t>
      </w:r>
    </w:p>
    <w:p w14:paraId="22A60FEA" w14:textId="77777777" w:rsidR="00EB3EFF" w:rsidRPr="00FF1EAA" w:rsidRDefault="00EB3EFF" w:rsidP="00EB3EFF">
      <w:pPr>
        <w:spacing w:after="0"/>
        <w:rPr>
          <w:rFonts w:ascii="Times New Roman" w:hAnsi="Times New Roman" w:cs="Times New Roman"/>
          <w:b/>
          <w:sz w:val="24"/>
          <w:szCs w:val="24"/>
        </w:rPr>
      </w:pPr>
    </w:p>
    <w:p w14:paraId="57BD4D23" w14:textId="77777777" w:rsidR="00EB3EFF" w:rsidRPr="00FF1EAA" w:rsidRDefault="00EB3EFF" w:rsidP="00EB3EFF">
      <w:pPr>
        <w:spacing w:after="0"/>
        <w:rPr>
          <w:rFonts w:ascii="Times New Roman" w:hAnsi="Times New Roman" w:cs="Times New Roman"/>
          <w:bCs/>
          <w:sz w:val="24"/>
          <w:szCs w:val="24"/>
        </w:rPr>
      </w:pPr>
      <w:r w:rsidRPr="00FF1EAA">
        <w:rPr>
          <w:rFonts w:ascii="Times New Roman" w:hAnsi="Times New Roman" w:cs="Times New Roman"/>
          <w:b/>
          <w:sz w:val="24"/>
          <w:szCs w:val="24"/>
        </w:rPr>
        <w:t>Question Presented:</w:t>
      </w:r>
      <w:r w:rsidRPr="00FF1EAA">
        <w:rPr>
          <w:rFonts w:ascii="Times New Roman" w:hAnsi="Times New Roman" w:cs="Times New Roman"/>
          <w:bCs/>
          <w:sz w:val="24"/>
          <w:szCs w:val="24"/>
        </w:rPr>
        <w:t xml:space="preserve"> Do IJs and BIA members have the authority to administratively close a case over one party’s objection?</w:t>
      </w:r>
    </w:p>
    <w:p w14:paraId="14451C59" w14:textId="77777777" w:rsidR="00EB3EFF" w:rsidRPr="00FF1EAA" w:rsidRDefault="00EB3EFF" w:rsidP="00EB3EFF">
      <w:pPr>
        <w:spacing w:after="0"/>
        <w:rPr>
          <w:rFonts w:ascii="Times New Roman" w:hAnsi="Times New Roman" w:cs="Times New Roman"/>
          <w:b/>
          <w:sz w:val="24"/>
          <w:szCs w:val="24"/>
        </w:rPr>
      </w:pPr>
    </w:p>
    <w:p w14:paraId="3A5D33A3" w14:textId="77777777" w:rsidR="00EB3EFF" w:rsidRPr="00FF1EAA" w:rsidRDefault="00EB3EFF" w:rsidP="00EB3EFF">
      <w:pPr>
        <w:spacing w:after="0"/>
        <w:rPr>
          <w:rFonts w:ascii="Times New Roman" w:hAnsi="Times New Roman" w:cs="Times New Roman"/>
          <w:bCs/>
          <w:sz w:val="24"/>
          <w:szCs w:val="24"/>
        </w:rPr>
      </w:pPr>
      <w:r w:rsidRPr="00FF1EAA">
        <w:rPr>
          <w:rFonts w:ascii="Times New Roman" w:hAnsi="Times New Roman" w:cs="Times New Roman"/>
          <w:b/>
          <w:sz w:val="24"/>
          <w:szCs w:val="24"/>
        </w:rPr>
        <w:t>Holdings:</w:t>
      </w:r>
      <w:r w:rsidRPr="00FF1EAA">
        <w:rPr>
          <w:rFonts w:ascii="Times New Roman" w:hAnsi="Times New Roman" w:cs="Times New Roman"/>
          <w:bCs/>
          <w:sz w:val="24"/>
          <w:szCs w:val="24"/>
        </w:rPr>
        <w:t xml:space="preserve"> Yes, IJs and the BIA may exercise authority to administratively close a case even over one party’s objection, so long as their decision considers six factors:</w:t>
      </w:r>
    </w:p>
    <w:p w14:paraId="2492BBA0"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reason administrative closure is sought;</w:t>
      </w:r>
    </w:p>
    <w:p w14:paraId="2C34A093"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basis for any opposition to it;</w:t>
      </w:r>
    </w:p>
    <w:p w14:paraId="7A00EAC2"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likelihood that the respondent will succeed in any pending petition outside removal proceedings;</w:t>
      </w:r>
    </w:p>
    <w:p w14:paraId="103B1FFF"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anticipated duration of the closure;</w:t>
      </w:r>
    </w:p>
    <w:p w14:paraId="47473581"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responsibility of either party for contributing to the delay;</w:t>
      </w:r>
    </w:p>
    <w:p w14:paraId="11DC74BA" w14:textId="77777777" w:rsidR="00EB3EFF" w:rsidRPr="00FF1EAA" w:rsidRDefault="00EB3EFF" w:rsidP="00EB3EFF">
      <w:pPr>
        <w:pStyle w:val="ListParagraph"/>
        <w:numPr>
          <w:ilvl w:val="0"/>
          <w:numId w:val="3"/>
        </w:numPr>
        <w:spacing w:after="0" w:line="276" w:lineRule="auto"/>
        <w:rPr>
          <w:rFonts w:ascii="Times New Roman" w:hAnsi="Times New Roman" w:cs="Times New Roman"/>
          <w:bCs/>
          <w:sz w:val="24"/>
          <w:szCs w:val="24"/>
        </w:rPr>
      </w:pPr>
      <w:r w:rsidRPr="00FF1EAA">
        <w:rPr>
          <w:rFonts w:ascii="Times New Roman" w:hAnsi="Times New Roman" w:cs="Times New Roman"/>
          <w:bCs/>
          <w:sz w:val="24"/>
          <w:szCs w:val="24"/>
        </w:rPr>
        <w:t>The ultimate outcome of removal proceedings when the case gets taken up again.</w:t>
      </w:r>
    </w:p>
    <w:p w14:paraId="5176B566" w14:textId="77777777" w:rsidR="00EB3EFF" w:rsidRPr="00FF1EAA" w:rsidRDefault="00EB3EFF" w:rsidP="00EB3EFF">
      <w:pPr>
        <w:spacing w:after="0"/>
        <w:rPr>
          <w:rFonts w:ascii="Times New Roman" w:hAnsi="Times New Roman" w:cs="Times New Roman"/>
          <w:b/>
          <w:sz w:val="24"/>
          <w:szCs w:val="24"/>
        </w:rPr>
      </w:pPr>
    </w:p>
    <w:p w14:paraId="5219DBE0" w14:textId="77777777" w:rsidR="00EB3EFF" w:rsidRPr="00FF1EAA" w:rsidRDefault="00EB3EFF" w:rsidP="00EB3EFF">
      <w:pPr>
        <w:spacing w:after="0"/>
        <w:rPr>
          <w:rFonts w:ascii="Times New Roman" w:hAnsi="Times New Roman" w:cs="Times New Roman"/>
          <w:bCs/>
          <w:sz w:val="24"/>
          <w:szCs w:val="24"/>
        </w:rPr>
      </w:pPr>
      <w:r w:rsidRPr="00FF1EAA">
        <w:rPr>
          <w:rFonts w:ascii="Times New Roman" w:hAnsi="Times New Roman" w:cs="Times New Roman"/>
          <w:b/>
          <w:sz w:val="24"/>
          <w:szCs w:val="24"/>
        </w:rPr>
        <w:t>Rationale:</w:t>
      </w:r>
      <w:r w:rsidRPr="00FF1EAA">
        <w:rPr>
          <w:rFonts w:ascii="Times New Roman" w:hAnsi="Times New Roman" w:cs="Times New Roman"/>
          <w:bCs/>
          <w:sz w:val="24"/>
          <w:szCs w:val="24"/>
        </w:rPr>
        <w:t xml:space="preserve"> Sometimes administrative closure is the most expeditious way to handle a case when actions are pending indefinitely that are outside the control of either party.</w:t>
      </w:r>
    </w:p>
    <w:p w14:paraId="451507B3" w14:textId="77777777" w:rsidR="00EB3EFF" w:rsidRPr="00FF1EAA" w:rsidRDefault="00EB3EFF" w:rsidP="00EB3EFF">
      <w:pPr>
        <w:spacing w:after="0"/>
        <w:rPr>
          <w:rFonts w:ascii="Times New Roman" w:hAnsi="Times New Roman" w:cs="Times New Roman"/>
          <w:b/>
          <w:sz w:val="24"/>
          <w:szCs w:val="24"/>
        </w:rPr>
      </w:pPr>
    </w:p>
    <w:p w14:paraId="52D54A5F" w14:textId="77777777" w:rsidR="00EB3EFF" w:rsidRPr="00FF1EAA" w:rsidRDefault="00EB3EFF" w:rsidP="00EB3EFF">
      <w:pPr>
        <w:spacing w:after="0"/>
        <w:rPr>
          <w:rFonts w:ascii="Times New Roman" w:hAnsi="Times New Roman" w:cs="Times New Roman"/>
          <w:bCs/>
          <w:sz w:val="24"/>
          <w:szCs w:val="24"/>
        </w:rPr>
      </w:pPr>
      <w:r w:rsidRPr="00FF1EAA">
        <w:rPr>
          <w:rFonts w:ascii="Times New Roman" w:hAnsi="Times New Roman" w:cs="Times New Roman"/>
          <w:b/>
          <w:sz w:val="24"/>
          <w:szCs w:val="24"/>
        </w:rPr>
        <w:t>Facts:</w:t>
      </w:r>
      <w:r w:rsidRPr="00FF1EAA">
        <w:rPr>
          <w:rFonts w:ascii="Times New Roman" w:hAnsi="Times New Roman" w:cs="Times New Roman"/>
          <w:bCs/>
          <w:sz w:val="24"/>
          <w:szCs w:val="24"/>
        </w:rPr>
        <w:t xml:space="preserve"> Native and citizen of Armenia who overstayed a J-1 exchange visa married an LPR, who was in the process of naturalizing and had filed a visa petition on her behalf. EIGHT CONTINUANCES LATER, respondent sought administrative closure. DHS objected. After two more continuances, IJ finally granted administrative closure, and DHS appealed.</w:t>
      </w:r>
    </w:p>
    <w:p w14:paraId="5B931160" w14:textId="77777777" w:rsidR="00EB3EFF" w:rsidRPr="00FF1EAA" w:rsidRDefault="00EB3EFF" w:rsidP="00EB3EFF">
      <w:pPr>
        <w:spacing w:after="0"/>
        <w:rPr>
          <w:rFonts w:ascii="Times New Roman" w:hAnsi="Times New Roman" w:cs="Times New Roman"/>
          <w:b/>
          <w:sz w:val="24"/>
          <w:szCs w:val="24"/>
        </w:rPr>
      </w:pPr>
    </w:p>
    <w:p w14:paraId="340E7B2C" w14:textId="77777777" w:rsidR="00EB3EFF" w:rsidRPr="00FF1EAA" w:rsidRDefault="00EB3EFF" w:rsidP="00EB3EFF">
      <w:pPr>
        <w:spacing w:after="0"/>
        <w:rPr>
          <w:rFonts w:ascii="Times New Roman" w:hAnsi="Times New Roman" w:cs="Times New Roman"/>
          <w:b/>
          <w:sz w:val="24"/>
          <w:szCs w:val="24"/>
        </w:rPr>
      </w:pPr>
      <w:r w:rsidRPr="00FF1EAA">
        <w:rPr>
          <w:rFonts w:ascii="Times New Roman" w:hAnsi="Times New Roman" w:cs="Times New Roman"/>
          <w:b/>
          <w:sz w:val="24"/>
          <w:szCs w:val="24"/>
        </w:rPr>
        <w:t>Appeals to Statute &amp; Precedent:</w:t>
      </w:r>
    </w:p>
    <w:p w14:paraId="2A982505"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FF1EAA">
        <w:rPr>
          <w:rFonts w:ascii="Times New Roman" w:hAnsi="Times New Roman" w:cs="Times New Roman"/>
          <w:b/>
          <w:i/>
          <w:iCs/>
          <w:sz w:val="24"/>
          <w:szCs w:val="24"/>
        </w:rPr>
        <w:t>Matter of Gutierrez</w:t>
      </w:r>
      <w:r w:rsidRPr="00FF1EAA">
        <w:rPr>
          <w:rFonts w:ascii="Times New Roman" w:hAnsi="Times New Roman" w:cs="Times New Roman"/>
          <w:b/>
          <w:sz w:val="24"/>
          <w:szCs w:val="24"/>
        </w:rPr>
        <w:t>, 21 I&amp;N Dec. 479 (BIA 1996):</w:t>
      </w:r>
      <w:r w:rsidRPr="00FF1EAA">
        <w:rPr>
          <w:rFonts w:ascii="Times New Roman" w:hAnsi="Times New Roman" w:cs="Times New Roman"/>
          <w:bCs/>
          <w:sz w:val="24"/>
          <w:szCs w:val="24"/>
        </w:rPr>
        <w:t xml:space="preserve"> a case may not be administratively closed if one party objects. </w:t>
      </w:r>
      <w:r w:rsidRPr="00FF1EAA">
        <w:rPr>
          <w:rFonts w:ascii="Times New Roman" w:hAnsi="Times New Roman" w:cs="Times New Roman"/>
          <w:b/>
          <w:sz w:val="24"/>
          <w:szCs w:val="24"/>
        </w:rPr>
        <w:t>OVERRULED.</w:t>
      </w:r>
      <w:r>
        <w:rPr>
          <w:rFonts w:ascii="Times New Roman" w:hAnsi="Times New Roman" w:cs="Times New Roman"/>
          <w:b/>
          <w:sz w:val="24"/>
          <w:szCs w:val="24"/>
        </w:rPr>
        <w:t xml:space="preserve"> </w:t>
      </w:r>
      <w:r>
        <w:rPr>
          <w:rFonts w:ascii="Times New Roman" w:hAnsi="Times New Roman" w:cs="Times New Roman"/>
          <w:bCs/>
          <w:sz w:val="24"/>
          <w:szCs w:val="24"/>
        </w:rPr>
        <w:t>(“. . . has been interpreted as investing a party, typically the DHS, with absolute veto power over administrative closure requests,” at 692.)</w:t>
      </w:r>
    </w:p>
    <w:p w14:paraId="29D10915"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FF1EAA">
        <w:rPr>
          <w:rFonts w:ascii="Times New Roman" w:hAnsi="Times New Roman" w:cs="Times New Roman"/>
          <w:b/>
          <w:sz w:val="24"/>
          <w:szCs w:val="24"/>
        </w:rPr>
        <w:t>8 C.F.R. § 1240.1(a)(1)(iv), (c):</w:t>
      </w:r>
      <w:r w:rsidRPr="00FF1EAA">
        <w:rPr>
          <w:rFonts w:ascii="Times New Roman" w:hAnsi="Times New Roman" w:cs="Times New Roman"/>
          <w:bCs/>
          <w:sz w:val="24"/>
          <w:szCs w:val="24"/>
        </w:rPr>
        <w:t xml:space="preserve"> IJs have authority and discretion to handle cases appropriately.</w:t>
      </w:r>
    </w:p>
    <w:p w14:paraId="5356436B" w14:textId="77777777" w:rsidR="00EB3EFF" w:rsidRPr="00FF1EAA" w:rsidRDefault="00EB3EFF" w:rsidP="00EB3EFF">
      <w:pPr>
        <w:spacing w:after="0"/>
        <w:rPr>
          <w:rFonts w:ascii="Times New Roman" w:hAnsi="Times New Roman" w:cs="Times New Roman"/>
          <w:b/>
          <w:sz w:val="24"/>
          <w:szCs w:val="24"/>
        </w:rPr>
      </w:pPr>
    </w:p>
    <w:p w14:paraId="2F654314" w14:textId="77777777" w:rsidR="00EB3EFF" w:rsidRPr="00FF1EAA" w:rsidRDefault="00EB3EFF" w:rsidP="00EB3EFF">
      <w:pPr>
        <w:spacing w:after="0"/>
        <w:rPr>
          <w:rFonts w:ascii="Times New Roman" w:hAnsi="Times New Roman" w:cs="Times New Roman"/>
          <w:b/>
          <w:sz w:val="24"/>
          <w:szCs w:val="24"/>
        </w:rPr>
      </w:pPr>
      <w:r w:rsidRPr="00FF1EAA">
        <w:rPr>
          <w:rFonts w:ascii="Times New Roman" w:hAnsi="Times New Roman" w:cs="Times New Roman"/>
          <w:b/>
          <w:sz w:val="24"/>
          <w:szCs w:val="24"/>
        </w:rPr>
        <w:t>Quotes:</w:t>
      </w:r>
    </w:p>
    <w:p w14:paraId="5ACB1C9F"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FF1EAA">
        <w:rPr>
          <w:rFonts w:ascii="Times New Roman" w:hAnsi="Times New Roman" w:cs="Times New Roman"/>
          <w:bCs/>
          <w:sz w:val="24"/>
          <w:szCs w:val="24"/>
        </w:rPr>
        <w:t xml:space="preserve">“Administrative closure is a procedural tool created for the convenience of the Immigration Courts and the Board.”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w:t>
      </w:r>
      <w:r w:rsidRPr="00FF1EAA">
        <w:rPr>
          <w:rFonts w:ascii="Times New Roman" w:hAnsi="Times New Roman" w:cs="Times New Roman"/>
          <w:bCs/>
          <w:sz w:val="24"/>
          <w:szCs w:val="24"/>
        </w:rPr>
        <w:t xml:space="preserve"> 690</w:t>
      </w:r>
      <w:r>
        <w:rPr>
          <w:rFonts w:ascii="Times New Roman" w:hAnsi="Times New Roman" w:cs="Times New Roman"/>
          <w:bCs/>
          <w:sz w:val="24"/>
          <w:szCs w:val="24"/>
        </w:rPr>
        <w:t>.</w:t>
      </w:r>
    </w:p>
    <w:p w14:paraId="3D15EF1B" w14:textId="77777777" w:rsidR="00EB3EFF" w:rsidRPr="00FF1EAA" w:rsidRDefault="00EB3EFF" w:rsidP="00EB3EFF">
      <w:pPr>
        <w:pStyle w:val="ListParagraph"/>
        <w:spacing w:after="0"/>
        <w:rPr>
          <w:rFonts w:ascii="Times New Roman" w:hAnsi="Times New Roman" w:cs="Times New Roman"/>
          <w:b/>
          <w:sz w:val="24"/>
          <w:szCs w:val="24"/>
        </w:rPr>
      </w:pPr>
    </w:p>
    <w:p w14:paraId="0D82B581"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FF1EAA">
        <w:rPr>
          <w:rFonts w:ascii="Times New Roman" w:hAnsi="Times New Roman" w:cs="Times New Roman"/>
          <w:bCs/>
          <w:sz w:val="24"/>
          <w:szCs w:val="24"/>
        </w:rPr>
        <w:lastRenderedPageBreak/>
        <w:t xml:space="preserve">“We now find that it is improper to afford absolute deference to a party’s objection, and we hold that an Immigration Judge or the Board has the authority to administratively close a case, even if a party opposes, if it is otherwise appropriate under the circumstances.”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 xml:space="preserve">at </w:t>
      </w:r>
      <w:r w:rsidRPr="00FF1EAA">
        <w:rPr>
          <w:rFonts w:ascii="Times New Roman" w:hAnsi="Times New Roman" w:cs="Times New Roman"/>
          <w:bCs/>
          <w:sz w:val="24"/>
          <w:szCs w:val="24"/>
        </w:rPr>
        <w:t>690</w:t>
      </w:r>
      <w:r>
        <w:rPr>
          <w:rFonts w:ascii="Times New Roman" w:hAnsi="Times New Roman" w:cs="Times New Roman"/>
          <w:bCs/>
          <w:sz w:val="24"/>
          <w:szCs w:val="24"/>
        </w:rPr>
        <w:t>.</w:t>
      </w:r>
    </w:p>
    <w:p w14:paraId="6A79CF68" w14:textId="77777777" w:rsidR="00EB3EFF" w:rsidRPr="00FF1EAA" w:rsidRDefault="00EB3EFF" w:rsidP="00EB3EFF">
      <w:pPr>
        <w:pStyle w:val="ListParagraph"/>
        <w:spacing w:after="0"/>
        <w:rPr>
          <w:rFonts w:ascii="Times New Roman" w:hAnsi="Times New Roman" w:cs="Times New Roman"/>
          <w:b/>
          <w:sz w:val="24"/>
          <w:szCs w:val="24"/>
        </w:rPr>
      </w:pPr>
    </w:p>
    <w:p w14:paraId="5E16B5CD"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C54626">
        <w:rPr>
          <w:rFonts w:ascii="Times New Roman" w:hAnsi="Times New Roman" w:cs="Times New Roman"/>
          <w:bCs/>
          <w:sz w:val="24"/>
          <w:szCs w:val="24"/>
          <w:u w:val="single"/>
        </w:rPr>
        <w:t xml:space="preserve">Interpreting </w:t>
      </w:r>
      <w:r w:rsidRPr="00C54626">
        <w:rPr>
          <w:rFonts w:ascii="Times New Roman" w:hAnsi="Times New Roman" w:cs="Times New Roman"/>
          <w:b/>
          <w:sz w:val="24"/>
          <w:szCs w:val="24"/>
          <w:u w:val="single"/>
        </w:rPr>
        <w:t>8 C.F.R. § 1240.1(a)(1)(iv), (c):</w:t>
      </w:r>
      <w:r w:rsidRPr="00FF1EAA">
        <w:rPr>
          <w:rFonts w:ascii="Times New Roman" w:hAnsi="Times New Roman" w:cs="Times New Roman"/>
          <w:bCs/>
          <w:sz w:val="24"/>
          <w:szCs w:val="24"/>
        </w:rPr>
        <w:t xml:space="preserve"> “An Immigration Judge has the authority to regulate the course of the hearing and to take any action consistent with applicable law and regulations as may be appropriate.”</w:t>
      </w:r>
      <w:r>
        <w:rPr>
          <w:rFonts w:ascii="Times New Roman" w:hAnsi="Times New Roman" w:cs="Times New Roman"/>
          <w:bCs/>
          <w:sz w:val="24"/>
          <w:szCs w:val="24"/>
        </w:rPr>
        <w:t xml:space="preserv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691.</w:t>
      </w:r>
    </w:p>
    <w:p w14:paraId="28495E54" w14:textId="77777777" w:rsidR="00EB3EFF" w:rsidRPr="00FF1EAA" w:rsidRDefault="00EB3EFF" w:rsidP="00EB3EFF">
      <w:pPr>
        <w:pStyle w:val="ListParagraph"/>
        <w:rPr>
          <w:rFonts w:ascii="Times New Roman" w:hAnsi="Times New Roman" w:cs="Times New Roman"/>
          <w:b/>
          <w:sz w:val="24"/>
          <w:szCs w:val="24"/>
        </w:rPr>
      </w:pPr>
    </w:p>
    <w:p w14:paraId="21B482BA"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C54626">
        <w:rPr>
          <w:rFonts w:ascii="Times New Roman" w:hAnsi="Times New Roman" w:cs="Times New Roman"/>
          <w:bCs/>
          <w:sz w:val="24"/>
          <w:szCs w:val="24"/>
          <w:u w:val="single"/>
        </w:rPr>
        <w:t>Interpreting</w:t>
      </w:r>
      <w:r w:rsidRPr="00C54626">
        <w:rPr>
          <w:rFonts w:ascii="Times New Roman" w:hAnsi="Times New Roman" w:cs="Times New Roman"/>
          <w:b/>
          <w:sz w:val="24"/>
          <w:szCs w:val="24"/>
          <w:u w:val="single"/>
        </w:rPr>
        <w:t xml:space="preserve"> 8 C.F.R. § 1003.10(b):</w:t>
      </w:r>
      <w:r w:rsidRPr="00FF1EAA">
        <w:rPr>
          <w:rFonts w:ascii="Times New Roman" w:hAnsi="Times New Roman" w:cs="Times New Roman"/>
          <w:bCs/>
          <w:sz w:val="24"/>
          <w:szCs w:val="24"/>
        </w:rPr>
        <w:t xml:space="preserve"> “In deciding individual cases, an Immigration Judge must exercise his or her independent judgment and discretion and may take any action consistent with the Act and regulations that is appropriate and necessary for the disposition of such cases.”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 xml:space="preserve">at </w:t>
      </w:r>
      <w:r w:rsidRPr="00FF1EAA">
        <w:rPr>
          <w:rFonts w:ascii="Times New Roman" w:hAnsi="Times New Roman" w:cs="Times New Roman"/>
          <w:bCs/>
          <w:sz w:val="24"/>
          <w:szCs w:val="24"/>
        </w:rPr>
        <w:t>691</w:t>
      </w:r>
      <w:r>
        <w:rPr>
          <w:rFonts w:ascii="Times New Roman" w:hAnsi="Times New Roman" w:cs="Times New Roman"/>
          <w:bCs/>
          <w:sz w:val="24"/>
          <w:szCs w:val="24"/>
        </w:rPr>
        <w:t>.</w:t>
      </w:r>
    </w:p>
    <w:p w14:paraId="2507D49E" w14:textId="77777777" w:rsidR="00EB3EFF" w:rsidRPr="00FF1EAA" w:rsidRDefault="00EB3EFF" w:rsidP="00EB3EFF">
      <w:pPr>
        <w:pStyle w:val="ListParagraph"/>
        <w:rPr>
          <w:rFonts w:ascii="Times New Roman" w:hAnsi="Times New Roman" w:cs="Times New Roman"/>
          <w:b/>
          <w:sz w:val="24"/>
          <w:szCs w:val="24"/>
        </w:rPr>
      </w:pPr>
    </w:p>
    <w:p w14:paraId="387469F8" w14:textId="77777777" w:rsidR="00EB3EFF" w:rsidRPr="00FF1EAA" w:rsidRDefault="00EB3EFF" w:rsidP="00EB3EFF">
      <w:pPr>
        <w:pStyle w:val="ListParagraph"/>
        <w:numPr>
          <w:ilvl w:val="0"/>
          <w:numId w:val="4"/>
        </w:numPr>
        <w:spacing w:after="0" w:line="276" w:lineRule="auto"/>
        <w:rPr>
          <w:rFonts w:ascii="Times New Roman" w:hAnsi="Times New Roman" w:cs="Times New Roman"/>
          <w:b/>
          <w:sz w:val="24"/>
          <w:szCs w:val="24"/>
        </w:rPr>
      </w:pPr>
      <w:r w:rsidRPr="00C54626">
        <w:rPr>
          <w:rFonts w:ascii="Times New Roman" w:hAnsi="Times New Roman" w:cs="Times New Roman"/>
          <w:bCs/>
          <w:sz w:val="24"/>
          <w:szCs w:val="24"/>
          <w:u w:val="single"/>
        </w:rPr>
        <w:t xml:space="preserve">Interpreting </w:t>
      </w:r>
      <w:r w:rsidRPr="00C54626">
        <w:rPr>
          <w:rFonts w:ascii="Times New Roman" w:hAnsi="Times New Roman" w:cs="Times New Roman"/>
          <w:b/>
          <w:sz w:val="24"/>
          <w:szCs w:val="24"/>
          <w:u w:val="single"/>
        </w:rPr>
        <w:t>8 C.F.R. § 1003.1(d)(1):</w:t>
      </w:r>
      <w:r w:rsidRPr="00FF1EAA">
        <w:rPr>
          <w:rFonts w:ascii="Times New Roman" w:hAnsi="Times New Roman" w:cs="Times New Roman"/>
          <w:bCs/>
          <w:sz w:val="24"/>
          <w:szCs w:val="24"/>
        </w:rPr>
        <w:t xml:space="preserve"> “Board Members must exercise </w:t>
      </w:r>
      <w:r>
        <w:rPr>
          <w:rFonts w:ascii="Times New Roman" w:hAnsi="Times New Roman" w:cs="Times New Roman"/>
          <w:bCs/>
          <w:sz w:val="24"/>
          <w:szCs w:val="24"/>
        </w:rPr>
        <w:t xml:space="preserve">independent judgment and discretion in considering and determining the cases coming before them, and they may take any action consistent with their authority under the Act and the regulations as is appropriate and necessary for the disposition of the case.”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25 I&amp;N Dec.</w:t>
      </w:r>
      <w:r>
        <w:rPr>
          <w:rFonts w:ascii="Times New Roman" w:hAnsi="Times New Roman" w:cs="Times New Roman"/>
          <w:bCs/>
          <w:sz w:val="24"/>
          <w:szCs w:val="24"/>
        </w:rPr>
        <w:t xml:space="preserve"> at 691.</w:t>
      </w:r>
    </w:p>
    <w:p w14:paraId="65122E40" w14:textId="77777777" w:rsidR="00EB3EFF" w:rsidRPr="00FF1EAA" w:rsidRDefault="00EB3EFF" w:rsidP="00EB3EFF">
      <w:pPr>
        <w:pStyle w:val="ListParagraph"/>
        <w:rPr>
          <w:rFonts w:ascii="Times New Roman" w:hAnsi="Times New Roman" w:cs="Times New Roman"/>
          <w:b/>
          <w:sz w:val="24"/>
          <w:szCs w:val="24"/>
        </w:rPr>
      </w:pPr>
    </w:p>
    <w:p w14:paraId="05854151" w14:textId="77777777" w:rsidR="00EB3EFF" w:rsidRDefault="00EB3EFF" w:rsidP="00EB3EFF">
      <w:pPr>
        <w:pStyle w:val="ListParagraph"/>
        <w:numPr>
          <w:ilvl w:val="0"/>
          <w:numId w:val="4"/>
        </w:numPr>
        <w:spacing w:after="0" w:line="276" w:lineRule="auto"/>
        <w:rPr>
          <w:rFonts w:ascii="Times New Roman" w:hAnsi="Times New Roman" w:cs="Times New Roman"/>
          <w:bCs/>
          <w:sz w:val="24"/>
          <w:szCs w:val="24"/>
        </w:rPr>
      </w:pPr>
      <w:r>
        <w:rPr>
          <w:rFonts w:ascii="Times New Roman" w:hAnsi="Times New Roman" w:cs="Times New Roman"/>
          <w:bCs/>
          <w:sz w:val="24"/>
          <w:szCs w:val="24"/>
        </w:rPr>
        <w:t xml:space="preserve">“During the course of proceedings, an Immigration Judge or the Board may find it necessary, or in the interests of justice and fairness to the parties, prudent to defer further action for some period of time.”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691.</w:t>
      </w:r>
    </w:p>
    <w:p w14:paraId="642781C3" w14:textId="77777777" w:rsidR="00EB3EFF" w:rsidRPr="00FF1EAA" w:rsidRDefault="00EB3EFF" w:rsidP="00EB3EFF">
      <w:pPr>
        <w:pStyle w:val="ListParagraph"/>
        <w:rPr>
          <w:rFonts w:ascii="Times New Roman" w:hAnsi="Times New Roman" w:cs="Times New Roman"/>
          <w:bCs/>
          <w:sz w:val="24"/>
          <w:szCs w:val="24"/>
        </w:rPr>
      </w:pPr>
    </w:p>
    <w:p w14:paraId="5AA9FEAA" w14:textId="77777777" w:rsidR="00EB3EFF" w:rsidRDefault="00EB3EFF" w:rsidP="00EB3EFF">
      <w:pPr>
        <w:pStyle w:val="ListParagraph"/>
        <w:numPr>
          <w:ilvl w:val="1"/>
          <w:numId w:val="4"/>
        </w:numPr>
        <w:spacing w:after="0" w:line="276" w:lineRule="auto"/>
        <w:rPr>
          <w:rFonts w:ascii="Times New Roman" w:hAnsi="Times New Roman" w:cs="Times New Roman"/>
          <w:bCs/>
          <w:sz w:val="24"/>
          <w:szCs w:val="24"/>
        </w:rPr>
      </w:pPr>
      <w:r w:rsidRPr="00C54626">
        <w:rPr>
          <w:rFonts w:ascii="Times New Roman" w:hAnsi="Times New Roman" w:cs="Times New Roman"/>
          <w:bCs/>
          <w:sz w:val="24"/>
          <w:szCs w:val="24"/>
          <w:u w:val="single"/>
        </w:rPr>
        <w:t>Continuances:</w:t>
      </w:r>
      <w:r>
        <w:rPr>
          <w:rFonts w:ascii="Times New Roman" w:hAnsi="Times New Roman" w:cs="Times New Roman"/>
          <w:bCs/>
          <w:sz w:val="24"/>
          <w:szCs w:val="24"/>
        </w:rPr>
        <w:t xml:space="preserve"> “Because it keeps a case on the Immigration Judge’s active calendar, a continuance may be appropriately utilized to await additional action required of the parties that will be, or is expected to be, completed within a reasonably certain and brief amount of time.”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691.</w:t>
      </w:r>
    </w:p>
    <w:p w14:paraId="469B9E04" w14:textId="67C5188F" w:rsidR="00EB3EFF" w:rsidRDefault="00EB3EFF" w:rsidP="00EB3EFF">
      <w:pPr>
        <w:pStyle w:val="ListParagraph"/>
        <w:numPr>
          <w:ilvl w:val="1"/>
          <w:numId w:val="4"/>
        </w:numPr>
        <w:spacing w:after="0" w:line="276" w:lineRule="auto"/>
        <w:rPr>
          <w:rFonts w:ascii="Times New Roman" w:hAnsi="Times New Roman" w:cs="Times New Roman"/>
          <w:bCs/>
          <w:sz w:val="24"/>
          <w:szCs w:val="24"/>
        </w:rPr>
      </w:pPr>
      <w:r>
        <w:rPr>
          <w:rFonts w:ascii="Times New Roman" w:hAnsi="Times New Roman" w:cs="Times New Roman"/>
          <w:bCs/>
          <w:sz w:val="24"/>
          <w:szCs w:val="24"/>
          <w:u w:val="single"/>
        </w:rPr>
        <w:t>Administrative Closure:</w:t>
      </w:r>
      <w:r>
        <w:rPr>
          <w:rFonts w:ascii="Times New Roman" w:hAnsi="Times New Roman" w:cs="Times New Roman"/>
          <w:bCs/>
          <w:sz w:val="24"/>
          <w:szCs w:val="24"/>
        </w:rPr>
        <w:t xml:space="preserve"> “…used to temporarily remove a case from an Immigration Judge’s active calendar or from the Board’s docket</w:t>
      </w:r>
      <w:proofErr w:type="gramStart"/>
      <w:r>
        <w:rPr>
          <w:rFonts w:ascii="Times New Roman" w:hAnsi="Times New Roman" w:cs="Times New Roman"/>
          <w:bCs/>
          <w:sz w:val="24"/>
          <w:szCs w:val="24"/>
        </w:rPr>
        <w:t>. . . .</w:t>
      </w:r>
      <w:proofErr w:type="gramEnd"/>
      <w:r>
        <w:rPr>
          <w:rFonts w:ascii="Times New Roman" w:hAnsi="Times New Roman" w:cs="Times New Roman"/>
          <w:bCs/>
          <w:sz w:val="24"/>
          <w:szCs w:val="24"/>
        </w:rPr>
        <w:t xml:space="preserve"> </w:t>
      </w:r>
      <w:r w:rsidRPr="00C54626">
        <w:rPr>
          <w:rFonts w:ascii="Times New Roman" w:hAnsi="Times New Roman" w:cs="Times New Roman"/>
          <w:b/>
          <w:sz w:val="24"/>
          <w:szCs w:val="24"/>
        </w:rPr>
        <w:t>In general, administrative closure may be appropriate to await an action or even</w:t>
      </w:r>
      <w:r w:rsidR="008454E0">
        <w:rPr>
          <w:rFonts w:ascii="Times New Roman" w:hAnsi="Times New Roman" w:cs="Times New Roman"/>
          <w:b/>
          <w:sz w:val="24"/>
          <w:szCs w:val="24"/>
        </w:rPr>
        <w:t>t</w:t>
      </w:r>
      <w:r w:rsidRPr="00C54626">
        <w:rPr>
          <w:rFonts w:ascii="Times New Roman" w:hAnsi="Times New Roman" w:cs="Times New Roman"/>
          <w:b/>
          <w:sz w:val="24"/>
          <w:szCs w:val="24"/>
        </w:rPr>
        <w:t xml:space="preserve"> that is relevant to immigration proceedings but is outside the control of the parties or the court and may not occur for a significant or undetermined period of time.”</w:t>
      </w:r>
      <w:r>
        <w:rPr>
          <w:rFonts w:ascii="Times New Roman" w:hAnsi="Times New Roman" w:cs="Times New Roman"/>
          <w:bCs/>
          <w:sz w:val="24"/>
          <w:szCs w:val="24"/>
        </w:rPr>
        <w:t xml:space="preserv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692.</w:t>
      </w:r>
    </w:p>
    <w:p w14:paraId="5B09EC9F" w14:textId="77777777" w:rsidR="00EB3EFF" w:rsidRDefault="00EB3EFF" w:rsidP="00EB3EFF">
      <w:pPr>
        <w:pStyle w:val="ListParagraph"/>
        <w:spacing w:after="0"/>
        <w:ind w:left="1440"/>
        <w:rPr>
          <w:rFonts w:ascii="Times New Roman" w:hAnsi="Times New Roman" w:cs="Times New Roman"/>
          <w:bCs/>
          <w:sz w:val="24"/>
          <w:szCs w:val="24"/>
        </w:rPr>
      </w:pPr>
    </w:p>
    <w:p w14:paraId="26C7828E" w14:textId="77777777" w:rsidR="00EB3EFF" w:rsidRDefault="00EB3EFF" w:rsidP="00EB3EFF">
      <w:pPr>
        <w:pStyle w:val="ListParagraph"/>
        <w:numPr>
          <w:ilvl w:val="0"/>
          <w:numId w:val="4"/>
        </w:numPr>
        <w:spacing w:after="0" w:line="276" w:lineRule="auto"/>
        <w:rPr>
          <w:rFonts w:ascii="Times New Roman" w:hAnsi="Times New Roman" w:cs="Times New Roman"/>
          <w:bCs/>
          <w:sz w:val="24"/>
          <w:szCs w:val="24"/>
        </w:rPr>
      </w:pPr>
      <w:r>
        <w:rPr>
          <w:rFonts w:ascii="Times New Roman" w:hAnsi="Times New Roman" w:cs="Times New Roman"/>
          <w:bCs/>
          <w:sz w:val="24"/>
          <w:szCs w:val="24"/>
        </w:rPr>
        <w:t xml:space="preserve">“More importantly, the rule stated in </w:t>
      </w:r>
      <w:r>
        <w:rPr>
          <w:rFonts w:ascii="Times New Roman" w:hAnsi="Times New Roman" w:cs="Times New Roman"/>
          <w:bCs/>
          <w:i/>
          <w:iCs/>
          <w:sz w:val="24"/>
          <w:szCs w:val="24"/>
        </w:rPr>
        <w:t>Gutierrez</w:t>
      </w:r>
      <w:r>
        <w:rPr>
          <w:rFonts w:ascii="Times New Roman" w:hAnsi="Times New Roman" w:cs="Times New Roman"/>
          <w:bCs/>
          <w:sz w:val="24"/>
          <w:szCs w:val="24"/>
        </w:rPr>
        <w:t xml:space="preserve"> directly conflicts with the delegated authority of the Immigration Judges and the Board and their responsibility to exercise independent judgment and discretion in adjudicating cases and to take any action necessary and appropriate for the disposition of the case.”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693.</w:t>
      </w:r>
    </w:p>
    <w:p w14:paraId="4EE83F8D" w14:textId="77777777" w:rsidR="00EB3EFF" w:rsidRDefault="00EB3EFF" w:rsidP="00EB3EFF">
      <w:pPr>
        <w:pStyle w:val="ListParagraph"/>
        <w:spacing w:after="0"/>
        <w:rPr>
          <w:rFonts w:ascii="Times New Roman" w:hAnsi="Times New Roman" w:cs="Times New Roman"/>
          <w:bCs/>
          <w:sz w:val="24"/>
          <w:szCs w:val="24"/>
        </w:rPr>
      </w:pPr>
    </w:p>
    <w:p w14:paraId="3EDAE661" w14:textId="77777777" w:rsidR="00EB3EFF" w:rsidRDefault="00EB3EFF" w:rsidP="00EB3EFF">
      <w:pPr>
        <w:pStyle w:val="ListParagraph"/>
        <w:numPr>
          <w:ilvl w:val="0"/>
          <w:numId w:val="4"/>
        </w:numPr>
        <w:spacing w:after="0" w:line="276" w:lineRule="auto"/>
        <w:rPr>
          <w:rFonts w:ascii="Times New Roman" w:hAnsi="Times New Roman" w:cs="Times New Roman"/>
          <w:bCs/>
          <w:sz w:val="24"/>
          <w:szCs w:val="24"/>
        </w:rPr>
      </w:pPr>
      <w:r>
        <w:rPr>
          <w:rFonts w:ascii="Times New Roman" w:hAnsi="Times New Roman" w:cs="Times New Roman"/>
          <w:bCs/>
          <w:sz w:val="24"/>
          <w:szCs w:val="24"/>
        </w:rPr>
        <w:t xml:space="preserve">“The courts indicated that permitting the DHS to unilaterally block such a motion to reopen interfered with the Board’s exercise of its independent judgment and discretion.” </w:t>
      </w:r>
      <w:r w:rsidRPr="00FF1EAA">
        <w:rPr>
          <w:rFonts w:ascii="Times New Roman" w:hAnsi="Times New Roman" w:cs="Times New Roman"/>
          <w:bCs/>
          <w:i/>
          <w:iCs/>
          <w:sz w:val="24"/>
          <w:szCs w:val="24"/>
        </w:rPr>
        <w:t>Matter of Avetisyan</w:t>
      </w:r>
      <w:r w:rsidRPr="00FF1EAA">
        <w:rPr>
          <w:rFonts w:ascii="Times New Roman" w:hAnsi="Times New Roman" w:cs="Times New Roman"/>
          <w:bCs/>
          <w:sz w:val="24"/>
          <w:szCs w:val="24"/>
        </w:rPr>
        <w:t xml:space="preserve">, 25 I&amp;N Dec. </w:t>
      </w:r>
      <w:r>
        <w:rPr>
          <w:rFonts w:ascii="Times New Roman" w:hAnsi="Times New Roman" w:cs="Times New Roman"/>
          <w:bCs/>
          <w:sz w:val="24"/>
          <w:szCs w:val="24"/>
        </w:rPr>
        <w:t>at 693.</w:t>
      </w:r>
    </w:p>
    <w:p w14:paraId="6EC4EF20" w14:textId="77777777" w:rsidR="00EB3EFF" w:rsidRPr="00C54626" w:rsidRDefault="00EB3EFF" w:rsidP="00EB3EFF">
      <w:pPr>
        <w:pStyle w:val="ListParagraph"/>
        <w:rPr>
          <w:rFonts w:ascii="Times New Roman" w:hAnsi="Times New Roman" w:cs="Times New Roman"/>
          <w:bCs/>
          <w:sz w:val="24"/>
          <w:szCs w:val="24"/>
        </w:rPr>
      </w:pPr>
    </w:p>
    <w:p w14:paraId="1416A14E" w14:textId="77777777" w:rsidR="00EB3EFF" w:rsidRDefault="00EB3EFF" w:rsidP="00EB3EFF">
      <w:pPr>
        <w:spacing w:after="0"/>
        <w:rPr>
          <w:rFonts w:ascii="Times New Roman" w:hAnsi="Times New Roman" w:cs="Times New Roman"/>
          <w:b/>
          <w:sz w:val="24"/>
          <w:szCs w:val="24"/>
        </w:rPr>
      </w:pPr>
      <w:r w:rsidRPr="00FF1EAA">
        <w:rPr>
          <w:rFonts w:ascii="Times New Roman" w:hAnsi="Times New Roman" w:cs="Times New Roman"/>
          <w:b/>
          <w:sz w:val="24"/>
          <w:szCs w:val="24"/>
        </w:rPr>
        <w:t>Commentary:</w:t>
      </w:r>
    </w:p>
    <w:p w14:paraId="4336D86B" w14:textId="77777777" w:rsidR="00EB3EFF" w:rsidRPr="00C54626" w:rsidRDefault="00EB3EFF" w:rsidP="00EB3EFF">
      <w:pPr>
        <w:pStyle w:val="ListParagraph"/>
        <w:numPr>
          <w:ilvl w:val="0"/>
          <w:numId w:val="4"/>
        </w:numPr>
        <w:spacing w:after="0" w:line="276" w:lineRule="auto"/>
        <w:rPr>
          <w:rFonts w:ascii="Times New Roman" w:hAnsi="Times New Roman" w:cs="Times New Roman"/>
          <w:b/>
          <w:sz w:val="24"/>
          <w:szCs w:val="24"/>
        </w:rPr>
      </w:pPr>
      <w:r>
        <w:rPr>
          <w:rFonts w:ascii="Times New Roman" w:hAnsi="Times New Roman" w:cs="Times New Roman"/>
          <w:bCs/>
          <w:sz w:val="24"/>
          <w:szCs w:val="24"/>
        </w:rPr>
        <w:t>Note the presupposition here: IJs and the Board are statutorily authorized to exercise independent judgment and discretion in how they handle cases, and administrative closure is assumed to be one of the appropriate tools they can use.</w:t>
      </w:r>
    </w:p>
    <w:p w14:paraId="78F03B3C" w14:textId="77777777" w:rsidR="000B55AF" w:rsidRDefault="000B55AF">
      <w:pPr>
        <w:rPr>
          <w:rFonts w:ascii="Times New Roman" w:hAnsi="Times New Roman" w:cs="Times New Roman"/>
          <w:sz w:val="24"/>
          <w:szCs w:val="24"/>
        </w:rPr>
      </w:pPr>
      <w:r>
        <w:rPr>
          <w:rFonts w:ascii="Times New Roman" w:hAnsi="Times New Roman" w:cs="Times New Roman"/>
          <w:sz w:val="24"/>
          <w:szCs w:val="24"/>
        </w:rPr>
        <w:br w:type="page"/>
      </w:r>
    </w:p>
    <w:p w14:paraId="331D5480" w14:textId="77777777" w:rsidR="000B55AF" w:rsidRDefault="000B55AF" w:rsidP="000B55AF">
      <w:pPr>
        <w:jc w:val="center"/>
        <w:rPr>
          <w:rStyle w:val="Strong"/>
          <w:rFonts w:ascii="Times New Roman" w:hAnsi="Times New Roman" w:cs="Times New Roman"/>
          <w:b w:val="0"/>
          <w:bCs w:val="0"/>
          <w:color w:val="000000"/>
          <w:sz w:val="24"/>
          <w:szCs w:val="24"/>
          <w:shd w:val="clear" w:color="auto" w:fill="FFFFFF"/>
        </w:rPr>
      </w:pPr>
      <w:r>
        <w:rPr>
          <w:rStyle w:val="Strong"/>
          <w:rFonts w:ascii="Times New Roman" w:hAnsi="Times New Roman" w:cs="Times New Roman"/>
          <w:smallCaps/>
          <w:color w:val="000000"/>
          <w:sz w:val="24"/>
          <w:szCs w:val="24"/>
          <w:u w:val="single"/>
          <w:shd w:val="clear" w:color="auto" w:fill="FFFFFF"/>
        </w:rPr>
        <w:lastRenderedPageBreak/>
        <w:t>Administrative Closure: Relevant Statutes</w:t>
      </w:r>
    </w:p>
    <w:p w14:paraId="073F74F7" w14:textId="77777777" w:rsidR="000B55AF" w:rsidRPr="00E67ED4" w:rsidRDefault="000B55AF" w:rsidP="000B55AF">
      <w:pPr>
        <w:jc w:val="center"/>
        <w:rPr>
          <w:rStyle w:val="Strong"/>
          <w:rFonts w:ascii="Times New Roman" w:hAnsi="Times New Roman" w:cs="Times New Roman"/>
          <w:b w:val="0"/>
          <w:bCs w:val="0"/>
          <w:color w:val="000000"/>
          <w:sz w:val="24"/>
          <w:szCs w:val="24"/>
          <w:shd w:val="clear" w:color="auto" w:fill="FFFFFF"/>
        </w:rPr>
      </w:pPr>
    </w:p>
    <w:p w14:paraId="2876DFA1" w14:textId="77777777" w:rsidR="000B55AF" w:rsidRDefault="000B55AF" w:rsidP="000B55AF">
      <w:pPr>
        <w:rPr>
          <w:rStyle w:val="Strong"/>
          <w:rFonts w:ascii="Times New Roman" w:hAnsi="Times New Roman" w:cs="Times New Roman"/>
          <w:color w:val="000000"/>
          <w:sz w:val="24"/>
          <w:szCs w:val="24"/>
          <w:shd w:val="clear" w:color="auto" w:fill="FFFFFF"/>
        </w:rPr>
      </w:pPr>
      <w:r>
        <w:rPr>
          <w:rStyle w:val="Strong"/>
          <w:rFonts w:ascii="Times New Roman" w:hAnsi="Times New Roman" w:cs="Times New Roman"/>
          <w:color w:val="000000"/>
          <w:sz w:val="24"/>
          <w:szCs w:val="24"/>
          <w:shd w:val="clear" w:color="auto" w:fill="FFFFFF"/>
        </w:rPr>
        <w:t>Broad grant of authority to IJs:</w:t>
      </w:r>
    </w:p>
    <w:p w14:paraId="736DEA4B" w14:textId="77777777" w:rsidR="000B55AF" w:rsidRDefault="000B55AF" w:rsidP="000B55AF">
      <w:pPr>
        <w:rPr>
          <w:rFonts w:ascii="Times New Roman" w:hAnsi="Times New Roman" w:cs="Times New Roman"/>
          <w:color w:val="000000"/>
          <w:sz w:val="24"/>
          <w:szCs w:val="24"/>
          <w:shd w:val="clear" w:color="auto" w:fill="FFFFFF"/>
        </w:rPr>
      </w:pPr>
      <w:r>
        <w:rPr>
          <w:rStyle w:val="Strong"/>
          <w:rFonts w:ascii="Times New Roman" w:hAnsi="Times New Roman" w:cs="Times New Roman"/>
          <w:color w:val="000000"/>
          <w:sz w:val="24"/>
          <w:szCs w:val="24"/>
          <w:shd w:val="clear" w:color="auto" w:fill="FFFFFF"/>
        </w:rPr>
        <w:t xml:space="preserve">8 C.F.R. § </w:t>
      </w:r>
      <w:r w:rsidRPr="00AD0157">
        <w:rPr>
          <w:rStyle w:val="Strong"/>
          <w:rFonts w:ascii="Times New Roman" w:hAnsi="Times New Roman" w:cs="Times New Roman"/>
          <w:color w:val="000000"/>
          <w:sz w:val="24"/>
          <w:szCs w:val="24"/>
          <w:shd w:val="clear" w:color="auto" w:fill="FFFFFF"/>
        </w:rPr>
        <w:t>1003.10(b)</w:t>
      </w:r>
      <w:r w:rsidRPr="00AD0157">
        <w:rPr>
          <w:rFonts w:ascii="Times New Roman" w:hAnsi="Times New Roman" w:cs="Times New Roman"/>
          <w:color w:val="000000"/>
          <w:sz w:val="24"/>
          <w:szCs w:val="24"/>
          <w:shd w:val="clear" w:color="auto" w:fill="FFFFFF"/>
        </w:rPr>
        <w:t> Powers and duties. In conducting hearings under </w:t>
      </w:r>
      <w:hyperlink r:id="rId5" w:anchor="documents/101" w:history="1">
        <w:r w:rsidRPr="00AD0157">
          <w:rPr>
            <w:rStyle w:val="Hyperlink"/>
            <w:rFonts w:ascii="Times New Roman" w:hAnsi="Times New Roman" w:cs="Times New Roman"/>
            <w:color w:val="3C6286"/>
            <w:sz w:val="24"/>
            <w:szCs w:val="24"/>
            <w:shd w:val="clear" w:color="auto" w:fill="FFFFFF"/>
          </w:rPr>
          <w:t>section 240</w:t>
        </w:r>
      </w:hyperlink>
      <w:r w:rsidRPr="00AD0157">
        <w:rPr>
          <w:rFonts w:ascii="Times New Roman" w:hAnsi="Times New Roman" w:cs="Times New Roman"/>
          <w:color w:val="000000"/>
          <w:sz w:val="24"/>
          <w:szCs w:val="24"/>
          <w:shd w:val="clear" w:color="auto" w:fill="FFFFFF"/>
        </w:rPr>
        <w:t xml:space="preserve"> of the Act and such other proceedings the Attorney General may assign to them, immigration judges shall exercise the powers and duties delegated to them by the Act and by the Attorney General through regulation. </w:t>
      </w:r>
      <w:bookmarkStart w:id="0" w:name="_Hlk23756653"/>
      <w:r w:rsidRPr="00AD0157">
        <w:rPr>
          <w:rFonts w:ascii="Times New Roman" w:hAnsi="Times New Roman" w:cs="Times New Roman"/>
          <w:color w:val="000000"/>
          <w:sz w:val="24"/>
          <w:szCs w:val="24"/>
          <w:shd w:val="clear" w:color="auto" w:fill="FFFFFF"/>
        </w:rPr>
        <w:t xml:space="preserve">In deciding the individual cases before them, and subject to the applicable governing standards, immigration judges shall exercise their independent judgment and discretion and may take any action consistent with their authorities under the Act and regulations that is appropriate and necessary for the disposition of such cases. </w:t>
      </w:r>
      <w:bookmarkEnd w:id="0"/>
      <w:r w:rsidRPr="00AD0157">
        <w:rPr>
          <w:rFonts w:ascii="Times New Roman" w:hAnsi="Times New Roman" w:cs="Times New Roman"/>
          <w:color w:val="000000"/>
          <w:sz w:val="24"/>
          <w:szCs w:val="24"/>
          <w:shd w:val="clear" w:color="auto" w:fill="FFFFFF"/>
        </w:rPr>
        <w:t>Immigration judges shall administer oaths, receive evidence, and interrogate, examine, and cross-examine aliens and any witnesses. Subject to </w:t>
      </w:r>
      <w:hyperlink r:id="rId6" w:anchor="documents/statutesre_cfr_8cfraliens_parts10011_part1003eo_subpartc10_100335depositionsandsubpoenas/jd_8cfr100335" w:history="1">
        <w:r w:rsidRPr="00AD0157">
          <w:rPr>
            <w:rStyle w:val="Hyperlink"/>
            <w:rFonts w:ascii="Times New Roman" w:hAnsi="Times New Roman" w:cs="Times New Roman"/>
            <w:color w:val="3C6286"/>
            <w:sz w:val="24"/>
            <w:szCs w:val="24"/>
            <w:shd w:val="clear" w:color="auto" w:fill="FFFFFF"/>
          </w:rPr>
          <w:t>§§1003.35</w:t>
        </w:r>
      </w:hyperlink>
      <w:r w:rsidRPr="00AD0157">
        <w:rPr>
          <w:rFonts w:ascii="Times New Roman" w:hAnsi="Times New Roman" w:cs="Times New Roman"/>
          <w:color w:val="000000"/>
          <w:sz w:val="24"/>
          <w:szCs w:val="24"/>
          <w:shd w:val="clear" w:color="auto" w:fill="FFFFFF"/>
        </w:rPr>
        <w:t> and </w:t>
      </w:r>
      <w:hyperlink r:id="rId7" w:anchor="documents/statutesre_cfr_8cfraliens_parts11011_part1287fi_12874subpoena/jd_8cfr12874" w:history="1">
        <w:r w:rsidRPr="00AD0157">
          <w:rPr>
            <w:rStyle w:val="Hyperlink"/>
            <w:rFonts w:ascii="Times New Roman" w:hAnsi="Times New Roman" w:cs="Times New Roman"/>
            <w:color w:val="3C6286"/>
            <w:sz w:val="24"/>
            <w:szCs w:val="24"/>
            <w:shd w:val="clear" w:color="auto" w:fill="FFFFFF"/>
          </w:rPr>
          <w:t>1287.4</w:t>
        </w:r>
      </w:hyperlink>
      <w:r w:rsidRPr="00AD0157">
        <w:rPr>
          <w:rFonts w:ascii="Times New Roman" w:hAnsi="Times New Roman" w:cs="Times New Roman"/>
          <w:color w:val="000000"/>
          <w:sz w:val="24"/>
          <w:szCs w:val="24"/>
          <w:shd w:val="clear" w:color="auto" w:fill="FFFFFF"/>
        </w:rPr>
        <w:t> of this chapter, they may issue administrative subpoenas for the attendance of witnesses and the presentation of evidence. In all cases, immigration judges shall seek to resolve the questions before them in a timely and impartial manner consistent with the Act and regulations.</w:t>
      </w:r>
    </w:p>
    <w:p w14:paraId="5AC23209" w14:textId="77777777" w:rsidR="000B55AF" w:rsidRDefault="000B55AF" w:rsidP="000B55AF">
      <w:pPr>
        <w:rPr>
          <w:rFonts w:ascii="Times New Roman" w:hAnsi="Times New Roman" w:cs="Times New Roman"/>
          <w:color w:val="000000"/>
          <w:sz w:val="24"/>
          <w:szCs w:val="24"/>
          <w:shd w:val="clear" w:color="auto" w:fill="FFFFFF"/>
        </w:rPr>
      </w:pPr>
    </w:p>
    <w:p w14:paraId="67066799" w14:textId="77777777" w:rsidR="000B55AF" w:rsidRPr="00AD0157" w:rsidRDefault="000B55AF" w:rsidP="000B55AF">
      <w:pPr>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Broad grant of authority to BIA members:</w:t>
      </w:r>
    </w:p>
    <w:p w14:paraId="7BC13ABC" w14:textId="77777777" w:rsidR="000B55AF" w:rsidRDefault="000B55AF" w:rsidP="000B55AF">
      <w:pPr>
        <w:rPr>
          <w:rFonts w:ascii="Times New Roman" w:hAnsi="Times New Roman" w:cs="Times New Roman"/>
          <w:color w:val="000000"/>
          <w:sz w:val="24"/>
          <w:szCs w:val="24"/>
          <w:shd w:val="clear" w:color="auto" w:fill="FFFFFF"/>
        </w:rPr>
      </w:pPr>
      <w:r>
        <w:rPr>
          <w:rStyle w:val="Strong"/>
          <w:rFonts w:ascii="Times New Roman" w:hAnsi="Times New Roman" w:cs="Times New Roman"/>
          <w:color w:val="000000"/>
          <w:sz w:val="24"/>
          <w:szCs w:val="24"/>
          <w:shd w:val="clear" w:color="auto" w:fill="FFFFFF"/>
        </w:rPr>
        <w:t xml:space="preserve">8 C.F.R. § </w:t>
      </w:r>
      <w:r w:rsidRPr="00AD0157">
        <w:rPr>
          <w:rStyle w:val="Strong"/>
          <w:rFonts w:ascii="Times New Roman" w:hAnsi="Times New Roman" w:cs="Times New Roman"/>
          <w:color w:val="000000"/>
          <w:sz w:val="24"/>
          <w:szCs w:val="24"/>
          <w:shd w:val="clear" w:color="auto" w:fill="FFFFFF"/>
        </w:rPr>
        <w:t>1003.1(d)(1)(ii)</w:t>
      </w:r>
      <w:r w:rsidRPr="00AD0157">
        <w:rPr>
          <w:rStyle w:val="8cfrcitation"/>
          <w:rFonts w:ascii="Times New Roman" w:hAnsi="Times New Roman" w:cs="Times New Roman"/>
          <w:color w:val="000000"/>
          <w:sz w:val="24"/>
          <w:szCs w:val="24"/>
          <w:shd w:val="clear" w:color="auto" w:fill="FFFFFF"/>
        </w:rPr>
        <w:t> </w:t>
      </w:r>
      <w:r w:rsidRPr="00AD0157">
        <w:rPr>
          <w:rFonts w:ascii="Times New Roman" w:hAnsi="Times New Roman" w:cs="Times New Roman"/>
          <w:color w:val="000000"/>
          <w:sz w:val="24"/>
          <w:szCs w:val="24"/>
          <w:shd w:val="clear" w:color="auto" w:fill="FFFFFF"/>
        </w:rPr>
        <w:t xml:space="preserve">Subject to these governing standards, </w:t>
      </w:r>
      <w:bookmarkStart w:id="1" w:name="_Hlk23756714"/>
      <w:r w:rsidRPr="00AD0157">
        <w:rPr>
          <w:rFonts w:ascii="Times New Roman" w:hAnsi="Times New Roman" w:cs="Times New Roman"/>
          <w:color w:val="000000"/>
          <w:sz w:val="24"/>
          <w:szCs w:val="24"/>
          <w:shd w:val="clear" w:color="auto" w:fill="FFFFFF"/>
        </w:rPr>
        <w:t>Board members shall exercise their independent judgment and discretion in considering and determining the cases coming before the Board, and a panel or Board member to whom a case is assigned may take any action consistent with their authorities under the Act and the regulations as is appropriate and necessary for the disposition of the case.</w:t>
      </w:r>
      <w:bookmarkEnd w:id="1"/>
    </w:p>
    <w:p w14:paraId="3EF73C8D" w14:textId="77777777" w:rsidR="000B55AF" w:rsidRDefault="000B55AF" w:rsidP="000B55AF">
      <w:pPr>
        <w:rPr>
          <w:rFonts w:ascii="Times New Roman" w:hAnsi="Times New Roman" w:cs="Times New Roman"/>
          <w:color w:val="000000"/>
          <w:sz w:val="24"/>
          <w:szCs w:val="24"/>
          <w:shd w:val="clear" w:color="auto" w:fill="FFFFFF"/>
        </w:rPr>
      </w:pPr>
    </w:p>
    <w:p w14:paraId="3A7F17BB" w14:textId="60A0191C" w:rsidR="003E0D4F" w:rsidRDefault="003E0D4F">
      <w:pPr>
        <w:rPr>
          <w:rFonts w:ascii="Times New Roman" w:hAnsi="Times New Roman" w:cs="Times New Roman"/>
          <w:sz w:val="24"/>
          <w:szCs w:val="24"/>
        </w:rPr>
      </w:pPr>
      <w:bookmarkStart w:id="2" w:name="_GoBack"/>
      <w:bookmarkEnd w:id="2"/>
      <w:r>
        <w:rPr>
          <w:rFonts w:ascii="Times New Roman" w:hAnsi="Times New Roman" w:cs="Times New Roman"/>
          <w:sz w:val="24"/>
          <w:szCs w:val="24"/>
        </w:rPr>
        <w:br w:type="page"/>
      </w:r>
    </w:p>
    <w:p w14:paraId="4D7DD22C" w14:textId="77777777" w:rsidR="003E0D4F" w:rsidRPr="00F835C4" w:rsidRDefault="003E0D4F" w:rsidP="003E0D4F">
      <w:pPr>
        <w:jc w:val="center"/>
        <w:rPr>
          <w:rFonts w:ascii="Times New Roman" w:hAnsi="Times New Roman" w:cs="Times New Roman"/>
          <w:b/>
          <w:bCs/>
          <w:sz w:val="24"/>
          <w:szCs w:val="24"/>
        </w:rPr>
      </w:pPr>
      <w:r w:rsidRPr="00F835C4">
        <w:rPr>
          <w:rFonts w:ascii="Times New Roman" w:hAnsi="Times New Roman" w:cs="Times New Roman"/>
          <w:b/>
          <w:bCs/>
          <w:sz w:val="24"/>
          <w:szCs w:val="24"/>
        </w:rPr>
        <w:lastRenderedPageBreak/>
        <w:t>Fourth Circuit Court</w:t>
      </w:r>
    </w:p>
    <w:p w14:paraId="6EF4CEA1" w14:textId="77777777" w:rsidR="003E0D4F" w:rsidRPr="00F835C4" w:rsidRDefault="003E0D4F" w:rsidP="003E0D4F">
      <w:pPr>
        <w:rPr>
          <w:rFonts w:ascii="Times New Roman" w:hAnsi="Times New Roman" w:cs="Times New Roman"/>
          <w:sz w:val="24"/>
          <w:szCs w:val="24"/>
        </w:rPr>
      </w:pPr>
      <w:r w:rsidRPr="00F835C4">
        <w:rPr>
          <w:rFonts w:ascii="Times New Roman" w:hAnsi="Times New Roman" w:cs="Times New Roman"/>
          <w:b/>
          <w:bCs/>
          <w:sz w:val="24"/>
          <w:szCs w:val="24"/>
        </w:rPr>
        <w:t>Case:</w:t>
      </w:r>
      <w:r w:rsidRPr="00F835C4">
        <w:rPr>
          <w:rFonts w:ascii="Times New Roman" w:hAnsi="Times New Roman" w:cs="Times New Roman"/>
          <w:b/>
          <w:bCs/>
          <w:sz w:val="24"/>
          <w:szCs w:val="24"/>
        </w:rPr>
        <w:tab/>
      </w:r>
      <w:r w:rsidRPr="00F835C4">
        <w:rPr>
          <w:rFonts w:ascii="Times New Roman" w:hAnsi="Times New Roman" w:cs="Times New Roman"/>
          <w:i/>
          <w:iCs/>
          <w:sz w:val="24"/>
          <w:szCs w:val="24"/>
        </w:rPr>
        <w:t>Zuniga Romero v. Barr</w:t>
      </w:r>
      <w:r w:rsidRPr="00F835C4">
        <w:rPr>
          <w:rFonts w:ascii="Times New Roman" w:hAnsi="Times New Roman" w:cs="Times New Roman"/>
          <w:sz w:val="24"/>
          <w:szCs w:val="24"/>
        </w:rPr>
        <w:t>, No. 18-1850 (4</w:t>
      </w:r>
      <w:r w:rsidRPr="00F835C4">
        <w:rPr>
          <w:rFonts w:ascii="Times New Roman" w:hAnsi="Times New Roman" w:cs="Times New Roman"/>
          <w:sz w:val="24"/>
          <w:szCs w:val="24"/>
          <w:vertAlign w:val="superscript"/>
        </w:rPr>
        <w:t>th</w:t>
      </w:r>
      <w:r w:rsidRPr="00F835C4">
        <w:rPr>
          <w:rFonts w:ascii="Times New Roman" w:hAnsi="Times New Roman" w:cs="Times New Roman"/>
          <w:sz w:val="24"/>
          <w:szCs w:val="24"/>
        </w:rPr>
        <w:t xml:space="preserve"> Cir. 8.29.19)</w:t>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t>Date:</w:t>
      </w:r>
      <w:r w:rsidRPr="00F835C4">
        <w:rPr>
          <w:rFonts w:ascii="Times New Roman" w:hAnsi="Times New Roman" w:cs="Times New Roman"/>
          <w:sz w:val="24"/>
          <w:szCs w:val="24"/>
        </w:rPr>
        <w:t xml:space="preserve"> August 29, 2019</w:t>
      </w:r>
    </w:p>
    <w:p w14:paraId="40A7DEDD" w14:textId="77777777" w:rsidR="003E0D4F" w:rsidRPr="00F835C4" w:rsidRDefault="003E0D4F" w:rsidP="003E0D4F">
      <w:pPr>
        <w:rPr>
          <w:rFonts w:ascii="Times New Roman" w:hAnsi="Times New Roman" w:cs="Times New Roman"/>
          <w:sz w:val="24"/>
          <w:szCs w:val="24"/>
        </w:rPr>
      </w:pPr>
      <w:r w:rsidRPr="00F835C4">
        <w:rPr>
          <w:rFonts w:ascii="Times New Roman" w:hAnsi="Times New Roman" w:cs="Times New Roman"/>
          <w:b/>
          <w:bCs/>
          <w:sz w:val="24"/>
          <w:szCs w:val="24"/>
        </w:rPr>
        <w:t>Adjudicated by:</w:t>
      </w:r>
      <w:r w:rsidRPr="00F835C4">
        <w:rPr>
          <w:rFonts w:ascii="Times New Roman" w:hAnsi="Times New Roman" w:cs="Times New Roman"/>
          <w:sz w:val="24"/>
          <w:szCs w:val="24"/>
        </w:rPr>
        <w:t xml:space="preserve"> Agee, Floyd, Thacker</w:t>
      </w:r>
      <w:r w:rsidRPr="00F835C4">
        <w:rPr>
          <w:rFonts w:ascii="Times New Roman" w:hAnsi="Times New Roman" w:cs="Times New Roman"/>
          <w:b/>
          <w:bCs/>
          <w:sz w:val="24"/>
          <w:szCs w:val="24"/>
        </w:rPr>
        <w:tab/>
      </w:r>
      <w:r w:rsidRPr="00F835C4">
        <w:rPr>
          <w:rFonts w:ascii="Times New Roman" w:hAnsi="Times New Roman" w:cs="Times New Roman"/>
          <w:b/>
          <w:bCs/>
          <w:sz w:val="24"/>
          <w:szCs w:val="24"/>
        </w:rPr>
        <w:tab/>
        <w:t>Opinion:</w:t>
      </w:r>
      <w:r w:rsidRPr="00F835C4">
        <w:rPr>
          <w:rFonts w:ascii="Times New Roman" w:hAnsi="Times New Roman" w:cs="Times New Roman"/>
          <w:sz w:val="24"/>
          <w:szCs w:val="24"/>
        </w:rPr>
        <w:t xml:space="preserve"> Agee (unanimous)</w:t>
      </w:r>
    </w:p>
    <w:p w14:paraId="031D9F2D" w14:textId="77777777" w:rsidR="003E0D4F" w:rsidRPr="00F835C4" w:rsidRDefault="003E0D4F" w:rsidP="003E0D4F">
      <w:pPr>
        <w:spacing w:after="0"/>
        <w:rPr>
          <w:rFonts w:ascii="Times New Roman" w:hAnsi="Times New Roman" w:cs="Times New Roman"/>
          <w:sz w:val="24"/>
          <w:szCs w:val="24"/>
        </w:rPr>
      </w:pPr>
      <w:r w:rsidRPr="00F835C4">
        <w:rPr>
          <w:rFonts w:ascii="Times New Roman" w:hAnsi="Times New Roman" w:cs="Times New Roman"/>
          <w:b/>
          <w:bCs/>
          <w:sz w:val="24"/>
          <w:szCs w:val="24"/>
        </w:rPr>
        <w:t>Tags:</w:t>
      </w:r>
      <w:r w:rsidRPr="00F835C4">
        <w:rPr>
          <w:rFonts w:ascii="Times New Roman" w:hAnsi="Times New Roman" w:cs="Times New Roman"/>
          <w:sz w:val="24"/>
          <w:szCs w:val="24"/>
        </w:rPr>
        <w:t xml:space="preserve"> Immigration, BIA, IJs, Attorney General, </w:t>
      </w:r>
      <w:r w:rsidRPr="00F835C4">
        <w:rPr>
          <w:rFonts w:ascii="Times New Roman" w:hAnsi="Times New Roman" w:cs="Times New Roman"/>
          <w:i/>
          <w:iCs/>
          <w:sz w:val="24"/>
          <w:szCs w:val="24"/>
        </w:rPr>
        <w:t>Castro-Tum</w:t>
      </w:r>
      <w:r w:rsidRPr="00F835C4">
        <w:rPr>
          <w:rFonts w:ascii="Times New Roman" w:hAnsi="Times New Roman" w:cs="Times New Roman"/>
          <w:sz w:val="24"/>
          <w:szCs w:val="24"/>
        </w:rPr>
        <w:t>, Administrative Closure</w:t>
      </w:r>
    </w:p>
    <w:p w14:paraId="2270417D" w14:textId="77777777" w:rsidR="003E0D4F" w:rsidRPr="00F835C4" w:rsidRDefault="003E0D4F" w:rsidP="003E0D4F">
      <w:pPr>
        <w:spacing w:after="0"/>
        <w:rPr>
          <w:rFonts w:ascii="Times New Roman" w:hAnsi="Times New Roman" w:cs="Times New Roman"/>
          <w:b/>
          <w:bCs/>
          <w:sz w:val="24"/>
          <w:szCs w:val="24"/>
        </w:rPr>
      </w:pPr>
    </w:p>
    <w:p w14:paraId="478D1E78" w14:textId="77777777" w:rsidR="003E0D4F" w:rsidRPr="00F835C4" w:rsidRDefault="003E0D4F" w:rsidP="003E0D4F">
      <w:pPr>
        <w:spacing w:after="0"/>
        <w:rPr>
          <w:rFonts w:ascii="Times New Roman" w:hAnsi="Times New Roman" w:cs="Times New Roman"/>
          <w:sz w:val="24"/>
          <w:szCs w:val="24"/>
        </w:rPr>
      </w:pPr>
      <w:r w:rsidRPr="00F835C4">
        <w:rPr>
          <w:rFonts w:ascii="Times New Roman" w:hAnsi="Times New Roman" w:cs="Times New Roman"/>
          <w:b/>
          <w:bCs/>
          <w:sz w:val="24"/>
          <w:szCs w:val="24"/>
        </w:rPr>
        <w:t>Question Presented:</w:t>
      </w:r>
      <w:r w:rsidRPr="00F835C4">
        <w:rPr>
          <w:rFonts w:ascii="Times New Roman" w:hAnsi="Times New Roman" w:cs="Times New Roman"/>
          <w:sz w:val="24"/>
          <w:szCs w:val="24"/>
        </w:rPr>
        <w:t xml:space="preserve"> Do IJs and BIA members have the authority to administratively close cases?</w:t>
      </w:r>
    </w:p>
    <w:p w14:paraId="0BD6CC12" w14:textId="77777777" w:rsidR="003E0D4F" w:rsidRPr="00F835C4" w:rsidRDefault="003E0D4F" w:rsidP="003E0D4F">
      <w:pPr>
        <w:spacing w:after="0"/>
        <w:rPr>
          <w:rFonts w:ascii="Times New Roman" w:hAnsi="Times New Roman" w:cs="Times New Roman"/>
          <w:b/>
          <w:bCs/>
          <w:sz w:val="24"/>
          <w:szCs w:val="24"/>
        </w:rPr>
      </w:pPr>
    </w:p>
    <w:p w14:paraId="4A5F8649" w14:textId="77777777" w:rsidR="003E0D4F" w:rsidRPr="00F835C4" w:rsidRDefault="003E0D4F" w:rsidP="003E0D4F">
      <w:pPr>
        <w:spacing w:after="0"/>
        <w:rPr>
          <w:rFonts w:ascii="Times New Roman" w:hAnsi="Times New Roman" w:cs="Times New Roman"/>
          <w:sz w:val="24"/>
          <w:szCs w:val="24"/>
        </w:rPr>
      </w:pPr>
      <w:r w:rsidRPr="00F835C4">
        <w:rPr>
          <w:rFonts w:ascii="Times New Roman" w:hAnsi="Times New Roman" w:cs="Times New Roman"/>
          <w:b/>
          <w:bCs/>
          <w:sz w:val="24"/>
          <w:szCs w:val="24"/>
        </w:rPr>
        <w:t>Holdings:</w:t>
      </w:r>
      <w:r w:rsidRPr="00F835C4">
        <w:rPr>
          <w:rFonts w:ascii="Times New Roman" w:hAnsi="Times New Roman" w:cs="Times New Roman"/>
          <w:sz w:val="24"/>
          <w:szCs w:val="24"/>
        </w:rPr>
        <w:t xml:space="preserve"> </w:t>
      </w:r>
    </w:p>
    <w:p w14:paraId="4DAF7DC1"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sz w:val="24"/>
          <w:szCs w:val="24"/>
        </w:rPr>
        <w:t>Yes, IJs and BIA members DO have general authority to act appropriately for the administration of cases, which extends to utilizing administrative closure.</w:t>
      </w:r>
    </w:p>
    <w:p w14:paraId="607829C8"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i/>
          <w:iCs/>
          <w:sz w:val="24"/>
          <w:szCs w:val="24"/>
        </w:rPr>
        <w:t>Castro-Tum</w:t>
      </w:r>
      <w:r w:rsidRPr="00F835C4">
        <w:rPr>
          <w:rFonts w:ascii="Times New Roman" w:hAnsi="Times New Roman" w:cs="Times New Roman"/>
          <w:sz w:val="24"/>
          <w:szCs w:val="24"/>
        </w:rPr>
        <w:t xml:space="preserve"> does not merit either </w:t>
      </w:r>
      <w:r w:rsidRPr="00F835C4">
        <w:rPr>
          <w:rFonts w:ascii="Times New Roman" w:hAnsi="Times New Roman" w:cs="Times New Roman"/>
          <w:i/>
          <w:iCs/>
          <w:sz w:val="24"/>
          <w:szCs w:val="24"/>
        </w:rPr>
        <w:t>Auer</w:t>
      </w:r>
      <w:r w:rsidRPr="00F835C4">
        <w:rPr>
          <w:rFonts w:ascii="Times New Roman" w:hAnsi="Times New Roman" w:cs="Times New Roman"/>
          <w:sz w:val="24"/>
          <w:szCs w:val="24"/>
        </w:rPr>
        <w:t xml:space="preserve"> or </w:t>
      </w:r>
      <w:r w:rsidRPr="00F835C4">
        <w:rPr>
          <w:rFonts w:ascii="Times New Roman" w:hAnsi="Times New Roman" w:cs="Times New Roman"/>
          <w:i/>
          <w:iCs/>
          <w:sz w:val="24"/>
          <w:szCs w:val="24"/>
        </w:rPr>
        <w:t>Skidmore</w:t>
      </w:r>
      <w:r w:rsidRPr="00F835C4">
        <w:rPr>
          <w:rFonts w:ascii="Times New Roman" w:hAnsi="Times New Roman" w:cs="Times New Roman"/>
          <w:sz w:val="24"/>
          <w:szCs w:val="24"/>
        </w:rPr>
        <w:t xml:space="preserve"> deference.</w:t>
      </w:r>
    </w:p>
    <w:p w14:paraId="7CE7C13C"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sz w:val="24"/>
          <w:szCs w:val="24"/>
        </w:rPr>
        <w:t xml:space="preserve">Zuniga Romero’s case is vacated and remanded for a decision in keeping with this one. </w:t>
      </w:r>
    </w:p>
    <w:p w14:paraId="61ED03FF" w14:textId="77777777" w:rsidR="003E0D4F" w:rsidRPr="00F835C4" w:rsidRDefault="003E0D4F" w:rsidP="003E0D4F">
      <w:pPr>
        <w:spacing w:after="0"/>
        <w:rPr>
          <w:rFonts w:ascii="Times New Roman" w:hAnsi="Times New Roman" w:cs="Times New Roman"/>
          <w:b/>
          <w:bCs/>
          <w:sz w:val="24"/>
          <w:szCs w:val="24"/>
        </w:rPr>
      </w:pPr>
    </w:p>
    <w:p w14:paraId="5CBF2860" w14:textId="77777777" w:rsidR="003E0D4F" w:rsidRDefault="003E0D4F" w:rsidP="003E0D4F">
      <w:pPr>
        <w:spacing w:after="0"/>
        <w:rPr>
          <w:rFonts w:ascii="Times New Roman" w:hAnsi="Times New Roman" w:cs="Times New Roman"/>
          <w:b/>
          <w:bCs/>
          <w:sz w:val="24"/>
          <w:szCs w:val="24"/>
        </w:rPr>
      </w:pPr>
      <w:r w:rsidRPr="00F835C4">
        <w:rPr>
          <w:rFonts w:ascii="Times New Roman" w:hAnsi="Times New Roman" w:cs="Times New Roman"/>
          <w:b/>
          <w:bCs/>
          <w:sz w:val="24"/>
          <w:szCs w:val="24"/>
        </w:rPr>
        <w:t>Rationale:</w:t>
      </w:r>
    </w:p>
    <w:p w14:paraId="2C7CC371" w14:textId="77777777" w:rsidR="003E0D4F" w:rsidRPr="008D1EFA"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Administrative closure is included in the general authority granted in 8 C.F.R. § 1003.10(b) (re. IJs) and 8 C.F.R. § 1003.1(d)(1)(ii) (re. BIA members) to take any action that is appropriate and necessary for such cases.</w:t>
      </w:r>
    </w:p>
    <w:p w14:paraId="4962945A" w14:textId="2BC76F8E" w:rsidR="003E0D4F" w:rsidRPr="008D1EFA"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The IJs and BIA have done this consistently since </w:t>
      </w:r>
      <w:r w:rsidR="0062259D">
        <w:rPr>
          <w:rFonts w:ascii="Times New Roman" w:hAnsi="Times New Roman" w:cs="Times New Roman"/>
          <w:sz w:val="24"/>
          <w:szCs w:val="24"/>
        </w:rPr>
        <w:t xml:space="preserve">the </w:t>
      </w:r>
      <w:r>
        <w:rPr>
          <w:rFonts w:ascii="Times New Roman" w:hAnsi="Times New Roman" w:cs="Times New Roman"/>
          <w:sz w:val="24"/>
          <w:szCs w:val="24"/>
        </w:rPr>
        <w:t>1980</w:t>
      </w:r>
      <w:r w:rsidR="0062259D">
        <w:rPr>
          <w:rFonts w:ascii="Times New Roman" w:hAnsi="Times New Roman" w:cs="Times New Roman"/>
          <w:sz w:val="24"/>
          <w:szCs w:val="24"/>
        </w:rPr>
        <w:t>s</w:t>
      </w:r>
      <w:r>
        <w:rPr>
          <w:rFonts w:ascii="Times New Roman" w:hAnsi="Times New Roman" w:cs="Times New Roman"/>
          <w:sz w:val="24"/>
          <w:szCs w:val="24"/>
        </w:rPr>
        <w:t>, and it’s been affirmed in lots of opinions.</w:t>
      </w:r>
    </w:p>
    <w:p w14:paraId="65E2136A" w14:textId="77777777" w:rsidR="003E0D4F" w:rsidRPr="008D1EFA"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The regulations are not ambiguous, and even if they were, the A.G.’s decision is so out of keeping with past practice as to be a “sudden surprise” procedurally for litigants.</w:t>
      </w:r>
    </w:p>
    <w:p w14:paraId="2D0FB7BB" w14:textId="77777777" w:rsidR="003E0D4F" w:rsidRPr="00F835C4" w:rsidRDefault="003E0D4F" w:rsidP="003E0D4F">
      <w:pPr>
        <w:spacing w:after="0"/>
        <w:rPr>
          <w:rFonts w:ascii="Times New Roman" w:hAnsi="Times New Roman" w:cs="Times New Roman"/>
          <w:b/>
          <w:bCs/>
          <w:sz w:val="24"/>
          <w:szCs w:val="24"/>
        </w:rPr>
      </w:pPr>
    </w:p>
    <w:p w14:paraId="4F083BD4" w14:textId="77777777" w:rsidR="003E0D4F" w:rsidRPr="00F835C4" w:rsidRDefault="003E0D4F" w:rsidP="003E0D4F">
      <w:pPr>
        <w:spacing w:after="0"/>
        <w:rPr>
          <w:rFonts w:ascii="Times New Roman" w:hAnsi="Times New Roman" w:cs="Times New Roman"/>
          <w:b/>
          <w:bCs/>
          <w:sz w:val="24"/>
          <w:szCs w:val="24"/>
        </w:rPr>
      </w:pPr>
      <w:r w:rsidRPr="00F835C4">
        <w:rPr>
          <w:rFonts w:ascii="Times New Roman" w:hAnsi="Times New Roman" w:cs="Times New Roman"/>
          <w:b/>
          <w:bCs/>
          <w:sz w:val="24"/>
          <w:szCs w:val="24"/>
        </w:rPr>
        <w:t>Procedural History:</w:t>
      </w:r>
    </w:p>
    <w:p w14:paraId="09EC0504"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b/>
          <w:bCs/>
          <w:sz w:val="24"/>
          <w:szCs w:val="24"/>
        </w:rPr>
        <w:t>2013:</w:t>
      </w:r>
      <w:r w:rsidRPr="00F835C4">
        <w:rPr>
          <w:rFonts w:ascii="Times New Roman" w:hAnsi="Times New Roman" w:cs="Times New Roman"/>
          <w:sz w:val="24"/>
          <w:szCs w:val="24"/>
        </w:rPr>
        <w:t xml:space="preserve"> Removal proceedings against Zuniga Romero</w:t>
      </w:r>
    </w:p>
    <w:p w14:paraId="3E892B7E"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b/>
          <w:bCs/>
          <w:sz w:val="24"/>
          <w:szCs w:val="24"/>
        </w:rPr>
        <w:t xml:space="preserve">IJ: </w:t>
      </w:r>
      <w:r w:rsidRPr="00F835C4">
        <w:rPr>
          <w:rFonts w:ascii="Times New Roman" w:hAnsi="Times New Roman" w:cs="Times New Roman"/>
          <w:sz w:val="24"/>
          <w:szCs w:val="24"/>
        </w:rPr>
        <w:t>Respondent accepted voluntary departure.</w:t>
      </w:r>
    </w:p>
    <w:p w14:paraId="2F564DBA" w14:textId="77777777" w:rsidR="003E0D4F" w:rsidRDefault="003E0D4F" w:rsidP="003E0D4F">
      <w:pPr>
        <w:pStyle w:val="ListParagraph"/>
        <w:numPr>
          <w:ilvl w:val="0"/>
          <w:numId w:val="5"/>
        </w:numPr>
        <w:spacing w:after="0"/>
        <w:rPr>
          <w:rFonts w:ascii="Times New Roman" w:hAnsi="Times New Roman" w:cs="Times New Roman"/>
          <w:sz w:val="24"/>
          <w:szCs w:val="24"/>
        </w:rPr>
      </w:pPr>
      <w:r w:rsidRPr="00F835C4">
        <w:rPr>
          <w:rFonts w:ascii="Times New Roman" w:hAnsi="Times New Roman" w:cs="Times New Roman"/>
          <w:b/>
          <w:bCs/>
          <w:sz w:val="24"/>
          <w:szCs w:val="24"/>
        </w:rPr>
        <w:t>Reopening:</w:t>
      </w:r>
      <w:r w:rsidRPr="00F835C4">
        <w:rPr>
          <w:rFonts w:ascii="Times New Roman" w:hAnsi="Times New Roman" w:cs="Times New Roman"/>
          <w:sz w:val="24"/>
          <w:szCs w:val="24"/>
        </w:rPr>
        <w:t xml:space="preserve"> Respondent is beneficiary of LPR wife’s I-130</w:t>
      </w:r>
    </w:p>
    <w:p w14:paraId="1CF0A0F4"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 xml:space="preserve">Motion for Admin Closure: </w:t>
      </w:r>
      <w:r>
        <w:rPr>
          <w:rFonts w:ascii="Times New Roman" w:hAnsi="Times New Roman" w:cs="Times New Roman"/>
          <w:sz w:val="24"/>
          <w:szCs w:val="24"/>
        </w:rPr>
        <w:t>Wife now naturalized, respondent wants to file I-601A for a provisional unlawful presence waiver. Removal proceedings have to be administratively closed for this to happen.</w:t>
      </w:r>
    </w:p>
    <w:p w14:paraId="565B75F3"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 xml:space="preserve">IJ: </w:t>
      </w:r>
      <w:r>
        <w:rPr>
          <w:rFonts w:ascii="Times New Roman" w:hAnsi="Times New Roman" w:cs="Times New Roman"/>
          <w:sz w:val="24"/>
          <w:szCs w:val="24"/>
        </w:rPr>
        <w:t>denied admin closure</w:t>
      </w:r>
    </w:p>
    <w:p w14:paraId="0DC8C5CB"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Appeal to BIA:</w:t>
      </w:r>
      <w:r>
        <w:rPr>
          <w:rFonts w:ascii="Times New Roman" w:hAnsi="Times New Roman" w:cs="Times New Roman"/>
          <w:sz w:val="24"/>
          <w:szCs w:val="24"/>
        </w:rPr>
        <w:t xml:space="preserve"> sustained appeal, administratively closed case.</w:t>
      </w:r>
    </w:p>
    <w:p w14:paraId="6A58C067" w14:textId="77777777" w:rsidR="003E0D4F" w:rsidRPr="00327667"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2017: DHS—Motion to Reconsider</w:t>
      </w:r>
    </w:p>
    <w:p w14:paraId="69DA3071"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 xml:space="preserve">May 2018: A.G.’s </w:t>
      </w:r>
      <w:r>
        <w:rPr>
          <w:rFonts w:ascii="Times New Roman" w:hAnsi="Times New Roman" w:cs="Times New Roman"/>
          <w:b/>
          <w:bCs/>
          <w:i/>
          <w:iCs/>
          <w:sz w:val="24"/>
          <w:szCs w:val="24"/>
        </w:rPr>
        <w:t>Castro-Tum</w:t>
      </w:r>
      <w:r>
        <w:rPr>
          <w:rFonts w:ascii="Times New Roman" w:hAnsi="Times New Roman" w:cs="Times New Roman"/>
          <w:i/>
          <w:iCs/>
          <w:sz w:val="24"/>
          <w:szCs w:val="24"/>
        </w:rPr>
        <w:t xml:space="preserve"> </w:t>
      </w:r>
      <w:proofErr w:type="gramStart"/>
      <w:r>
        <w:rPr>
          <w:rFonts w:ascii="Times New Roman" w:hAnsi="Times New Roman" w:cs="Times New Roman"/>
          <w:sz w:val="24"/>
          <w:szCs w:val="24"/>
        </w:rPr>
        <w:t>outlaws</w:t>
      </w:r>
      <w:proofErr w:type="gramEnd"/>
      <w:r>
        <w:rPr>
          <w:rFonts w:ascii="Times New Roman" w:hAnsi="Times New Roman" w:cs="Times New Roman"/>
          <w:sz w:val="24"/>
          <w:szCs w:val="24"/>
        </w:rPr>
        <w:t xml:space="preserve"> administrative closure</w:t>
      </w:r>
    </w:p>
    <w:p w14:paraId="72815702"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 xml:space="preserve">June 2018: BIA </w:t>
      </w:r>
      <w:r>
        <w:rPr>
          <w:rFonts w:ascii="Times New Roman" w:hAnsi="Times New Roman" w:cs="Times New Roman"/>
          <w:sz w:val="24"/>
          <w:szCs w:val="24"/>
        </w:rPr>
        <w:t>grants DHS motion, dismissed respondent’s appeal &amp; ordered him deported.</w:t>
      </w:r>
    </w:p>
    <w:p w14:paraId="66F3E082" w14:textId="77777777" w:rsidR="003E0D4F" w:rsidRPr="00F835C4"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b/>
          <w:bCs/>
          <w:sz w:val="24"/>
          <w:szCs w:val="24"/>
        </w:rPr>
        <w:t>Petition to 4</w:t>
      </w:r>
      <w:r w:rsidRPr="00327667">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Circuit</w:t>
      </w:r>
    </w:p>
    <w:p w14:paraId="34F8D3F0" w14:textId="77777777" w:rsidR="003E0D4F" w:rsidRPr="00F835C4" w:rsidRDefault="003E0D4F" w:rsidP="003E0D4F">
      <w:pPr>
        <w:spacing w:after="0"/>
        <w:rPr>
          <w:rFonts w:ascii="Times New Roman" w:hAnsi="Times New Roman" w:cs="Times New Roman"/>
          <w:b/>
          <w:bCs/>
          <w:sz w:val="24"/>
          <w:szCs w:val="24"/>
        </w:rPr>
      </w:pPr>
    </w:p>
    <w:p w14:paraId="48E76991" w14:textId="77777777" w:rsidR="003E0D4F" w:rsidRDefault="003E0D4F" w:rsidP="003E0D4F">
      <w:pPr>
        <w:spacing w:after="0"/>
        <w:rPr>
          <w:rFonts w:ascii="Times New Roman" w:hAnsi="Times New Roman" w:cs="Times New Roman"/>
          <w:b/>
          <w:bCs/>
          <w:sz w:val="24"/>
          <w:szCs w:val="24"/>
        </w:rPr>
      </w:pPr>
    </w:p>
    <w:p w14:paraId="70C9AF2C" w14:textId="77777777" w:rsidR="003E0D4F" w:rsidRDefault="003E0D4F" w:rsidP="003E0D4F">
      <w:pPr>
        <w:spacing w:after="0"/>
        <w:rPr>
          <w:rFonts w:ascii="Times New Roman" w:hAnsi="Times New Roman" w:cs="Times New Roman"/>
          <w:b/>
          <w:bCs/>
          <w:sz w:val="24"/>
          <w:szCs w:val="24"/>
        </w:rPr>
      </w:pPr>
    </w:p>
    <w:p w14:paraId="0452207A" w14:textId="77777777" w:rsidR="003E0D4F" w:rsidRDefault="003E0D4F" w:rsidP="003E0D4F">
      <w:pPr>
        <w:spacing w:after="0"/>
        <w:rPr>
          <w:rFonts w:ascii="Times New Roman" w:hAnsi="Times New Roman" w:cs="Times New Roman"/>
          <w:b/>
          <w:bCs/>
          <w:sz w:val="24"/>
          <w:szCs w:val="24"/>
        </w:rPr>
      </w:pPr>
      <w:r w:rsidRPr="00F835C4">
        <w:rPr>
          <w:rFonts w:ascii="Times New Roman" w:hAnsi="Times New Roman" w:cs="Times New Roman"/>
          <w:b/>
          <w:bCs/>
          <w:sz w:val="24"/>
          <w:szCs w:val="24"/>
        </w:rPr>
        <w:lastRenderedPageBreak/>
        <w:t>Appeals to Statute &amp; Precedent:</w:t>
      </w:r>
    </w:p>
    <w:p w14:paraId="5DB4949A" w14:textId="77777777" w:rsidR="003E0D4F" w:rsidRPr="00EB29E5"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b/>
          <w:bCs/>
          <w:i/>
          <w:iCs/>
          <w:sz w:val="24"/>
          <w:szCs w:val="24"/>
        </w:rPr>
        <w:t>Matter of Avetisyan</w:t>
      </w:r>
      <w:r>
        <w:rPr>
          <w:rFonts w:ascii="Times New Roman" w:hAnsi="Times New Roman" w:cs="Times New Roman"/>
          <w:b/>
          <w:bCs/>
          <w:sz w:val="24"/>
          <w:szCs w:val="24"/>
        </w:rPr>
        <w:t>, 25 I&amp;N Dec. 688 (BIA 2012):</w:t>
      </w:r>
      <w:r>
        <w:rPr>
          <w:rFonts w:ascii="Times New Roman" w:hAnsi="Times New Roman" w:cs="Times New Roman"/>
          <w:sz w:val="24"/>
          <w:szCs w:val="24"/>
        </w:rPr>
        <w:t xml:space="preserve"> Administrative closure is necessary for the efficient processing of this case. Six-factor test for applying admin closure.</w:t>
      </w:r>
    </w:p>
    <w:p w14:paraId="73B5BF32" w14:textId="77777777" w:rsidR="003E0D4F" w:rsidRPr="001E5127"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b/>
          <w:bCs/>
          <w:i/>
          <w:iCs/>
          <w:sz w:val="24"/>
          <w:szCs w:val="24"/>
        </w:rPr>
        <w:t>Matter of Hashmi</w:t>
      </w:r>
      <w:r>
        <w:rPr>
          <w:rFonts w:ascii="Times New Roman" w:hAnsi="Times New Roman" w:cs="Times New Roman"/>
          <w:b/>
          <w:bCs/>
          <w:sz w:val="24"/>
          <w:szCs w:val="24"/>
        </w:rPr>
        <w:t>, 24 I&amp;N Dec. 785 (BIA 2009):</w:t>
      </w:r>
      <w:r>
        <w:rPr>
          <w:rFonts w:ascii="Times New Roman" w:hAnsi="Times New Roman" w:cs="Times New Roman"/>
          <w:sz w:val="24"/>
          <w:szCs w:val="24"/>
        </w:rPr>
        <w:t xml:space="preserve"> Administrative closure is necessary for the processing of a visa application.</w:t>
      </w:r>
    </w:p>
    <w:p w14:paraId="1E74C68B"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sidRPr="001E5127">
        <w:rPr>
          <w:rFonts w:ascii="Times New Roman" w:hAnsi="Times New Roman" w:cs="Times New Roman"/>
          <w:b/>
          <w:bCs/>
          <w:i/>
          <w:iCs/>
          <w:sz w:val="24"/>
          <w:szCs w:val="24"/>
        </w:rPr>
        <w:t>Matter of W-Y-U-</w:t>
      </w:r>
      <w:r w:rsidRPr="001E5127">
        <w:rPr>
          <w:rFonts w:ascii="Times New Roman" w:hAnsi="Times New Roman" w:cs="Times New Roman"/>
          <w:b/>
          <w:bCs/>
          <w:sz w:val="24"/>
          <w:szCs w:val="24"/>
        </w:rPr>
        <w:t>, 27 I&amp;N Dec. 17, 18 (BIA 2017)</w:t>
      </w:r>
      <w:r>
        <w:rPr>
          <w:rFonts w:ascii="Times New Roman" w:hAnsi="Times New Roman" w:cs="Times New Roman"/>
          <w:b/>
          <w:bCs/>
          <w:sz w:val="24"/>
          <w:szCs w:val="24"/>
        </w:rPr>
        <w:t>:</w:t>
      </w:r>
      <w:r>
        <w:rPr>
          <w:rFonts w:ascii="Times New Roman" w:hAnsi="Times New Roman" w:cs="Times New Roman"/>
          <w:sz w:val="24"/>
          <w:szCs w:val="24"/>
        </w:rPr>
        <w:t xml:space="preserve"> Purpose of &amp; reasons for administrative closure</w:t>
      </w:r>
    </w:p>
    <w:p w14:paraId="00F19333" w14:textId="77777777" w:rsidR="003E0D4F" w:rsidRPr="006C5079"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b/>
          <w:bCs/>
          <w:i/>
          <w:iCs/>
          <w:sz w:val="24"/>
          <w:szCs w:val="24"/>
        </w:rPr>
        <w:t>In re. Gutierrez-Lopez</w:t>
      </w:r>
      <w:r>
        <w:rPr>
          <w:rFonts w:ascii="Times New Roman" w:hAnsi="Times New Roman" w:cs="Times New Roman"/>
          <w:b/>
          <w:bCs/>
          <w:sz w:val="24"/>
          <w:szCs w:val="24"/>
        </w:rPr>
        <w:t>, 21 I&amp;N Dec. 479, 480 (BIA 1996):</w:t>
      </w:r>
      <w:r>
        <w:rPr>
          <w:rFonts w:ascii="Times New Roman" w:hAnsi="Times New Roman" w:cs="Times New Roman"/>
          <w:sz w:val="24"/>
          <w:szCs w:val="24"/>
        </w:rPr>
        <w:t xml:space="preserve"> affirmed administrative closure</w:t>
      </w:r>
    </w:p>
    <w:p w14:paraId="4EA8B0B1" w14:textId="77777777" w:rsidR="003E0D4F" w:rsidRPr="00727AA7"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b/>
          <w:bCs/>
          <w:i/>
          <w:iCs/>
          <w:sz w:val="24"/>
          <w:szCs w:val="24"/>
        </w:rPr>
        <w:t>Gonzalez-</w:t>
      </w:r>
      <w:proofErr w:type="spellStart"/>
      <w:r>
        <w:rPr>
          <w:rFonts w:ascii="Times New Roman" w:hAnsi="Times New Roman" w:cs="Times New Roman"/>
          <w:b/>
          <w:bCs/>
          <w:i/>
          <w:iCs/>
          <w:sz w:val="24"/>
          <w:szCs w:val="24"/>
        </w:rPr>
        <w:t>Caraveo</w:t>
      </w:r>
      <w:proofErr w:type="spellEnd"/>
      <w:r>
        <w:rPr>
          <w:rFonts w:ascii="Times New Roman" w:hAnsi="Times New Roman" w:cs="Times New Roman"/>
          <w:b/>
          <w:bCs/>
          <w:i/>
          <w:iCs/>
          <w:sz w:val="24"/>
          <w:szCs w:val="24"/>
        </w:rPr>
        <w:t xml:space="preserve"> v. Sessions</w:t>
      </w:r>
      <w:r>
        <w:rPr>
          <w:rFonts w:ascii="Times New Roman" w:hAnsi="Times New Roman" w:cs="Times New Roman"/>
          <w:b/>
          <w:bCs/>
          <w:sz w:val="24"/>
          <w:szCs w:val="24"/>
        </w:rPr>
        <w:t>, 882 F.3d 885 (9</w:t>
      </w:r>
      <w:r w:rsidRPr="006C5079">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Cir. 2018):</w:t>
      </w:r>
      <w:r>
        <w:rPr>
          <w:rFonts w:ascii="Times New Roman" w:hAnsi="Times New Roman" w:cs="Times New Roman"/>
          <w:sz w:val="24"/>
          <w:szCs w:val="24"/>
        </w:rPr>
        <w:t xml:space="preserve"> cites statutes at </w:t>
      </w:r>
      <w:r w:rsidRPr="006C5079">
        <w:rPr>
          <w:rFonts w:ascii="Times New Roman" w:hAnsi="Times New Roman" w:cs="Times New Roman"/>
          <w:sz w:val="24"/>
          <w:szCs w:val="24"/>
        </w:rPr>
        <w:t>8 C.F.R. § 1003</w:t>
      </w:r>
      <w:r>
        <w:rPr>
          <w:rFonts w:ascii="Times New Roman" w:hAnsi="Times New Roman" w:cs="Times New Roman"/>
          <w:sz w:val="24"/>
          <w:szCs w:val="24"/>
        </w:rPr>
        <w:t xml:space="preserve"> as authority for admin closure.</w:t>
      </w:r>
    </w:p>
    <w:p w14:paraId="388F53BD" w14:textId="77777777" w:rsidR="003E0D4F" w:rsidRPr="003A7756" w:rsidRDefault="003E0D4F" w:rsidP="003E0D4F">
      <w:pPr>
        <w:pStyle w:val="ListParagraph"/>
        <w:numPr>
          <w:ilvl w:val="0"/>
          <w:numId w:val="5"/>
        </w:numPr>
        <w:spacing w:after="0"/>
        <w:rPr>
          <w:rFonts w:ascii="Times New Roman" w:hAnsi="Times New Roman" w:cs="Times New Roman"/>
          <w:b/>
          <w:bCs/>
          <w:sz w:val="24"/>
          <w:szCs w:val="24"/>
        </w:rPr>
      </w:pPr>
      <w:proofErr w:type="spellStart"/>
      <w:r w:rsidRPr="00727AA7">
        <w:rPr>
          <w:rFonts w:ascii="Times New Roman" w:hAnsi="Times New Roman" w:cs="Times New Roman"/>
          <w:b/>
          <w:bCs/>
          <w:i/>
          <w:iCs/>
          <w:sz w:val="24"/>
          <w:szCs w:val="24"/>
        </w:rPr>
        <w:t>Kisor</w:t>
      </w:r>
      <w:proofErr w:type="spellEnd"/>
      <w:r w:rsidRPr="00727AA7">
        <w:rPr>
          <w:rFonts w:ascii="Times New Roman" w:hAnsi="Times New Roman" w:cs="Times New Roman"/>
          <w:b/>
          <w:bCs/>
          <w:i/>
          <w:iCs/>
          <w:sz w:val="24"/>
          <w:szCs w:val="24"/>
        </w:rPr>
        <w:t xml:space="preserve"> v. </w:t>
      </w:r>
      <w:proofErr w:type="spellStart"/>
      <w:r w:rsidRPr="00727AA7">
        <w:rPr>
          <w:rFonts w:ascii="Times New Roman" w:hAnsi="Times New Roman" w:cs="Times New Roman"/>
          <w:b/>
          <w:bCs/>
          <w:i/>
          <w:iCs/>
          <w:sz w:val="24"/>
          <w:szCs w:val="24"/>
        </w:rPr>
        <w:t>Wilkie</w:t>
      </w:r>
      <w:proofErr w:type="spellEnd"/>
      <w:r w:rsidRPr="00727AA7">
        <w:rPr>
          <w:rFonts w:ascii="Times New Roman" w:hAnsi="Times New Roman" w:cs="Times New Roman"/>
          <w:b/>
          <w:bCs/>
          <w:sz w:val="24"/>
          <w:szCs w:val="24"/>
        </w:rPr>
        <w:t>, 139 S. Ct. 2400 (2019)</w:t>
      </w:r>
      <w:r>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i/>
          <w:iCs/>
          <w:sz w:val="24"/>
          <w:szCs w:val="24"/>
        </w:rPr>
        <w:t xml:space="preserve">Auer </w:t>
      </w:r>
      <w:r>
        <w:rPr>
          <w:rFonts w:ascii="Times New Roman" w:hAnsi="Times New Roman" w:cs="Times New Roman"/>
          <w:sz w:val="24"/>
          <w:szCs w:val="24"/>
        </w:rPr>
        <w:t>deference does not apply when a new interpretation creates an unfair surprise to regulated parties.</w:t>
      </w:r>
    </w:p>
    <w:p w14:paraId="6D8C4C01"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sidRPr="003A7756">
        <w:rPr>
          <w:rFonts w:ascii="Times New Roman" w:hAnsi="Times New Roman" w:cs="Times New Roman"/>
          <w:b/>
          <w:bCs/>
          <w:i/>
          <w:iCs/>
          <w:sz w:val="24"/>
          <w:szCs w:val="24"/>
        </w:rPr>
        <w:t>Skidmore v. Swift &amp; Co.</w:t>
      </w:r>
      <w:r w:rsidRPr="003A7756">
        <w:rPr>
          <w:rFonts w:ascii="Times New Roman" w:hAnsi="Times New Roman" w:cs="Times New Roman"/>
          <w:b/>
          <w:bCs/>
          <w:sz w:val="24"/>
          <w:szCs w:val="24"/>
        </w:rPr>
        <w:t>, 323 U.S. 134, 140 (1944)</w:t>
      </w:r>
      <w:r>
        <w:rPr>
          <w:rFonts w:ascii="Times New Roman" w:hAnsi="Times New Roman" w:cs="Times New Roman"/>
          <w:b/>
          <w:bCs/>
          <w:sz w:val="24"/>
          <w:szCs w:val="24"/>
        </w:rPr>
        <w:t>:</w:t>
      </w:r>
      <w:r>
        <w:rPr>
          <w:rFonts w:ascii="Times New Roman" w:hAnsi="Times New Roman" w:cs="Times New Roman"/>
          <w:sz w:val="24"/>
          <w:szCs w:val="24"/>
        </w:rPr>
        <w:t xml:space="preserve"> in absence of </w:t>
      </w:r>
      <w:r>
        <w:rPr>
          <w:rFonts w:ascii="Times New Roman" w:hAnsi="Times New Roman" w:cs="Times New Roman"/>
          <w:i/>
          <w:iCs/>
          <w:sz w:val="24"/>
          <w:szCs w:val="24"/>
        </w:rPr>
        <w:t xml:space="preserve">Auer </w:t>
      </w:r>
      <w:r>
        <w:rPr>
          <w:rFonts w:ascii="Times New Roman" w:hAnsi="Times New Roman" w:cs="Times New Roman"/>
          <w:sz w:val="24"/>
          <w:szCs w:val="24"/>
        </w:rPr>
        <w:t>criteria, deference is merited if agency’s interpretation is well-thought-through and persuasive.</w:t>
      </w:r>
    </w:p>
    <w:p w14:paraId="3A4CB41B"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sidRPr="00460A1B">
        <w:rPr>
          <w:rFonts w:ascii="Times New Roman" w:hAnsi="Times New Roman" w:cs="Times New Roman"/>
          <w:b/>
          <w:bCs/>
          <w:i/>
          <w:iCs/>
          <w:sz w:val="24"/>
          <w:szCs w:val="24"/>
        </w:rPr>
        <w:t>Christopher v. SmithKline Beecham Corp.</w:t>
      </w:r>
      <w:r w:rsidRPr="00460A1B">
        <w:rPr>
          <w:rFonts w:ascii="Times New Roman" w:hAnsi="Times New Roman" w:cs="Times New Roman"/>
          <w:b/>
          <w:bCs/>
          <w:sz w:val="24"/>
          <w:szCs w:val="24"/>
        </w:rPr>
        <w:t>, 567 U.S. 142</w:t>
      </w:r>
      <w:r>
        <w:rPr>
          <w:rFonts w:ascii="Times New Roman" w:hAnsi="Times New Roman" w:cs="Times New Roman"/>
          <w:b/>
          <w:bCs/>
          <w:sz w:val="24"/>
          <w:szCs w:val="24"/>
        </w:rPr>
        <w:t xml:space="preserve"> </w:t>
      </w:r>
      <w:r w:rsidRPr="00460A1B">
        <w:rPr>
          <w:rFonts w:ascii="Times New Roman" w:hAnsi="Times New Roman" w:cs="Times New Roman"/>
          <w:b/>
          <w:bCs/>
          <w:sz w:val="24"/>
          <w:szCs w:val="24"/>
        </w:rPr>
        <w:t>(2012)</w:t>
      </w:r>
      <w:r>
        <w:rPr>
          <w:rFonts w:ascii="Times New Roman" w:hAnsi="Times New Roman" w:cs="Times New Roman"/>
          <w:b/>
          <w:bCs/>
          <w:sz w:val="24"/>
          <w:szCs w:val="24"/>
        </w:rPr>
        <w:t>:</w:t>
      </w:r>
      <w:r>
        <w:rPr>
          <w:rFonts w:ascii="Times New Roman" w:hAnsi="Times New Roman" w:cs="Times New Roman"/>
          <w:sz w:val="24"/>
          <w:szCs w:val="24"/>
        </w:rPr>
        <w:t xml:space="preserve"> DOL interpretation of a regulation that departed abruptly from longstanding previous practice was not afforded deference by the Court.</w:t>
      </w:r>
    </w:p>
    <w:p w14:paraId="2BA63F75" w14:textId="77777777" w:rsidR="003E0D4F" w:rsidRPr="00F835C4" w:rsidRDefault="003E0D4F" w:rsidP="003E0D4F">
      <w:pPr>
        <w:spacing w:after="0"/>
        <w:rPr>
          <w:rFonts w:ascii="Times New Roman" w:hAnsi="Times New Roman" w:cs="Times New Roman"/>
          <w:b/>
          <w:bCs/>
          <w:sz w:val="24"/>
          <w:szCs w:val="24"/>
        </w:rPr>
      </w:pPr>
    </w:p>
    <w:p w14:paraId="23DD4891" w14:textId="77777777" w:rsidR="003E0D4F" w:rsidRDefault="003E0D4F" w:rsidP="003E0D4F">
      <w:pPr>
        <w:spacing w:after="0"/>
        <w:rPr>
          <w:rFonts w:ascii="Times New Roman" w:hAnsi="Times New Roman" w:cs="Times New Roman"/>
          <w:sz w:val="24"/>
          <w:szCs w:val="24"/>
        </w:rPr>
      </w:pPr>
      <w:r>
        <w:rPr>
          <w:rFonts w:ascii="Times New Roman" w:hAnsi="Times New Roman" w:cs="Times New Roman"/>
          <w:b/>
          <w:bCs/>
          <w:sz w:val="24"/>
          <w:szCs w:val="24"/>
        </w:rPr>
        <w:t>Legal Background:</w:t>
      </w:r>
    </w:p>
    <w:p w14:paraId="7B35AD14"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“By administratively closing a case, an IJ or the BIA ‘temporarily pause[s] removal proceedings’ and places the case on hold, generally because there is an alternate form of case resolution pending, or because the case may be affected by events outside of the control of either party or that may not occur for some time. </w:t>
      </w:r>
      <w:r>
        <w:rPr>
          <w:rFonts w:ascii="Times New Roman" w:hAnsi="Times New Roman" w:cs="Times New Roman"/>
          <w:i/>
          <w:iCs/>
          <w:sz w:val="24"/>
          <w:szCs w:val="24"/>
        </w:rPr>
        <w:t>Matter of W-Y-U-</w:t>
      </w:r>
      <w:r>
        <w:rPr>
          <w:rFonts w:ascii="Times New Roman" w:hAnsi="Times New Roman" w:cs="Times New Roman"/>
          <w:sz w:val="24"/>
          <w:szCs w:val="24"/>
        </w:rPr>
        <w:t xml:space="preserve">, 27 I&amp;N Dec. 17, 18 (BIA 2017).”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w:t>
      </w:r>
      <w:r w:rsidRPr="001E5127">
        <w:rPr>
          <w:rFonts w:ascii="Times New Roman" w:hAnsi="Times New Roman" w:cs="Times New Roman"/>
          <w:sz w:val="24"/>
          <w:szCs w:val="24"/>
        </w:rPr>
        <w:t>5</w:t>
      </w:r>
      <w:r>
        <w:rPr>
          <w:rFonts w:ascii="Times New Roman" w:hAnsi="Times New Roman" w:cs="Times New Roman"/>
          <w:sz w:val="24"/>
          <w:szCs w:val="24"/>
        </w:rPr>
        <w:t>.</w:t>
      </w:r>
    </w:p>
    <w:p w14:paraId="553DC044" w14:textId="77777777" w:rsidR="003E0D4F" w:rsidRDefault="003E0D4F" w:rsidP="003E0D4F">
      <w:pPr>
        <w:pStyle w:val="ListParagraph"/>
        <w:spacing w:after="0"/>
        <w:rPr>
          <w:rFonts w:ascii="Times New Roman" w:hAnsi="Times New Roman" w:cs="Times New Roman"/>
          <w:sz w:val="24"/>
          <w:szCs w:val="24"/>
        </w:rPr>
      </w:pPr>
    </w:p>
    <w:p w14:paraId="3D05CF0A"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“General administrative closure is not specifically authorized by the INA or the regulations governing IJs or the BIA.”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6.</w:t>
      </w:r>
    </w:p>
    <w:p w14:paraId="22E48069" w14:textId="77777777" w:rsidR="003E0D4F" w:rsidRPr="001E5127" w:rsidRDefault="003E0D4F" w:rsidP="003E0D4F">
      <w:pPr>
        <w:pStyle w:val="ListParagraph"/>
        <w:rPr>
          <w:rFonts w:ascii="Times New Roman" w:hAnsi="Times New Roman" w:cs="Times New Roman"/>
          <w:sz w:val="24"/>
          <w:szCs w:val="24"/>
        </w:rPr>
      </w:pPr>
    </w:p>
    <w:p w14:paraId="331F0474"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Administrative closure is specifically authorized by statute in these cases:</w:t>
      </w:r>
    </w:p>
    <w:p w14:paraId="47FA947B" w14:textId="77777777" w:rsidR="003E0D4F" w:rsidRPr="001E5127"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 xml:space="preserve">8 C.F.R. § 1214.2(a): </w:t>
      </w:r>
      <w:r>
        <w:rPr>
          <w:rFonts w:ascii="Times New Roman" w:hAnsi="Times New Roman" w:cs="Times New Roman"/>
          <w:sz w:val="24"/>
          <w:szCs w:val="24"/>
        </w:rPr>
        <w:t>T-immigrant status</w:t>
      </w:r>
    </w:p>
    <w:p w14:paraId="731F1151" w14:textId="77777777" w:rsidR="003E0D4F" w:rsidRPr="001E5127"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1214.3:</w:t>
      </w:r>
      <w:r>
        <w:rPr>
          <w:rFonts w:ascii="Times New Roman" w:hAnsi="Times New Roman" w:cs="Times New Roman"/>
          <w:sz w:val="24"/>
          <w:szCs w:val="24"/>
        </w:rPr>
        <w:t xml:space="preserve"> V-immigrant status</w:t>
      </w:r>
    </w:p>
    <w:p w14:paraId="09E83A14" w14:textId="77777777" w:rsidR="003E0D4F" w:rsidRPr="001E5127"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1234.13(d)(3)(</w:t>
      </w:r>
      <w:proofErr w:type="spellStart"/>
      <w:r>
        <w:rPr>
          <w:rFonts w:ascii="Times New Roman" w:hAnsi="Times New Roman" w:cs="Times New Roman"/>
          <w:b/>
          <w:bCs/>
          <w:sz w:val="24"/>
          <w:szCs w:val="24"/>
        </w:rPr>
        <w:t>i</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in certain </w:t>
      </w:r>
      <w:proofErr w:type="gramStart"/>
      <w:r>
        <w:rPr>
          <w:rFonts w:ascii="Times New Roman" w:hAnsi="Times New Roman" w:cs="Times New Roman"/>
          <w:sz w:val="24"/>
          <w:szCs w:val="24"/>
        </w:rPr>
        <w:t>cases</w:t>
      </w:r>
      <w:proofErr w:type="gramEnd"/>
      <w:r>
        <w:rPr>
          <w:rFonts w:ascii="Times New Roman" w:hAnsi="Times New Roman" w:cs="Times New Roman"/>
          <w:sz w:val="24"/>
          <w:szCs w:val="24"/>
        </w:rPr>
        <w:t xml:space="preserve"> re. nationals of Cuba &amp; Nicaragua who are eligible for LPR status</w:t>
      </w:r>
    </w:p>
    <w:p w14:paraId="2D08C93D" w14:textId="77777777" w:rsidR="003E0D4F" w:rsidRPr="001E5127"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1245.15(p)(4)(</w:t>
      </w:r>
      <w:proofErr w:type="spellStart"/>
      <w:r>
        <w:rPr>
          <w:rFonts w:ascii="Times New Roman" w:hAnsi="Times New Roman" w:cs="Times New Roman"/>
          <w:b/>
          <w:bCs/>
          <w:sz w:val="24"/>
          <w:szCs w:val="24"/>
        </w:rPr>
        <w:t>i</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Haitian nationals </w:t>
      </w:r>
      <w:proofErr w:type="gramStart"/>
      <w:r>
        <w:rPr>
          <w:rFonts w:ascii="Times New Roman" w:hAnsi="Times New Roman" w:cs="Times New Roman"/>
          <w:sz w:val="24"/>
          <w:szCs w:val="24"/>
        </w:rPr>
        <w:t>“  “</w:t>
      </w:r>
      <w:proofErr w:type="gramEnd"/>
    </w:p>
    <w:p w14:paraId="451CF6F0"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1245.21(c):</w:t>
      </w:r>
      <w:r>
        <w:rPr>
          <w:rFonts w:ascii="Times New Roman" w:hAnsi="Times New Roman" w:cs="Times New Roman"/>
          <w:sz w:val="24"/>
          <w:szCs w:val="24"/>
        </w:rPr>
        <w:t xml:space="preserve"> similar for nationals of Vietnam, Cambodia, &amp; Laos</w:t>
      </w:r>
    </w:p>
    <w:p w14:paraId="033A1D7F" w14:textId="77777777" w:rsidR="003E0D4F" w:rsidRDefault="003E0D4F" w:rsidP="003E0D4F">
      <w:pPr>
        <w:pStyle w:val="ListParagraph"/>
        <w:spacing w:after="0"/>
        <w:ind w:left="1440"/>
        <w:rPr>
          <w:rFonts w:ascii="Times New Roman" w:hAnsi="Times New Roman" w:cs="Times New Roman"/>
          <w:sz w:val="24"/>
          <w:szCs w:val="24"/>
        </w:rPr>
      </w:pPr>
    </w:p>
    <w:p w14:paraId="678A4F7A"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“the BIA has referenced two regulations that confer broad powers to IJs and the BIA to manage their dockets as the authority for administrative closure.”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6-7.)</w:t>
      </w:r>
    </w:p>
    <w:p w14:paraId="4017D9F5" w14:textId="77777777" w:rsidR="003E0D4F" w:rsidRPr="00AA25A4"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1003.10(b):</w:t>
      </w:r>
      <w:r>
        <w:rPr>
          <w:rFonts w:ascii="Times New Roman" w:hAnsi="Times New Roman" w:cs="Times New Roman"/>
          <w:sz w:val="24"/>
          <w:szCs w:val="24"/>
        </w:rPr>
        <w:t xml:space="preserve"> powers &amp; duties of IJs (see attached for full text)</w:t>
      </w:r>
    </w:p>
    <w:p w14:paraId="6E11664A"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1003.1(d)(1)(ii):</w:t>
      </w:r>
      <w:r>
        <w:rPr>
          <w:rFonts w:ascii="Times New Roman" w:hAnsi="Times New Roman" w:cs="Times New Roman"/>
          <w:sz w:val="24"/>
          <w:szCs w:val="24"/>
        </w:rPr>
        <w:t xml:space="preserve"> powers of BIA members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       “)</w:t>
      </w:r>
    </w:p>
    <w:p w14:paraId="2C8E205E" w14:textId="77777777" w:rsidR="003E0D4F" w:rsidRDefault="003E0D4F" w:rsidP="003E0D4F">
      <w:pPr>
        <w:pStyle w:val="ListParagraph"/>
        <w:spacing w:after="0"/>
        <w:ind w:left="1440"/>
        <w:rPr>
          <w:rFonts w:ascii="Times New Roman" w:hAnsi="Times New Roman" w:cs="Times New Roman"/>
          <w:sz w:val="24"/>
          <w:szCs w:val="24"/>
        </w:rPr>
      </w:pPr>
    </w:p>
    <w:p w14:paraId="637C76CF"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i/>
          <w:iCs/>
          <w:sz w:val="24"/>
          <w:szCs w:val="24"/>
        </w:rPr>
        <w:t xml:space="preserve">Matter of Avetisyan </w:t>
      </w:r>
      <w:r>
        <w:rPr>
          <w:rFonts w:ascii="Times New Roman" w:hAnsi="Times New Roman" w:cs="Times New Roman"/>
          <w:sz w:val="24"/>
          <w:szCs w:val="24"/>
        </w:rPr>
        <w:t xml:space="preserve">(BIA 2012): </w:t>
      </w:r>
    </w:p>
    <w:p w14:paraId="38E6DA09"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“[d]</w:t>
      </w:r>
      <w:proofErr w:type="spellStart"/>
      <w:r>
        <w:rPr>
          <w:rFonts w:ascii="Times New Roman" w:hAnsi="Times New Roman" w:cs="Times New Roman"/>
          <w:sz w:val="24"/>
          <w:szCs w:val="24"/>
        </w:rPr>
        <w:t>uring</w:t>
      </w:r>
      <w:proofErr w:type="spellEnd"/>
      <w:r>
        <w:rPr>
          <w:rFonts w:ascii="Times New Roman" w:hAnsi="Times New Roman" w:cs="Times New Roman"/>
          <w:sz w:val="24"/>
          <w:szCs w:val="24"/>
        </w:rPr>
        <w:t xml:space="preserve"> the course of proceedings, an Immigration Judge or the Board may find it necessary or, in the interests of justice and fairness to the parties, prudent to defer further action for some period of time.” </w:t>
      </w:r>
      <w:r w:rsidRPr="006C5079">
        <w:rPr>
          <w:rFonts w:ascii="Times New Roman" w:hAnsi="Times New Roman" w:cs="Times New Roman"/>
          <w:i/>
          <w:iCs/>
          <w:sz w:val="24"/>
          <w:szCs w:val="24"/>
        </w:rPr>
        <w:t>Matter of Avetisyan</w:t>
      </w:r>
      <w:r w:rsidRPr="006C5079">
        <w:rPr>
          <w:rFonts w:ascii="Times New Roman" w:hAnsi="Times New Roman" w:cs="Times New Roman"/>
          <w:sz w:val="24"/>
          <w:szCs w:val="24"/>
        </w:rPr>
        <w:t>, 25 I&amp;N Dec. 688</w:t>
      </w:r>
      <w:r>
        <w:rPr>
          <w:rFonts w:ascii="Times New Roman" w:hAnsi="Times New Roman" w:cs="Times New Roman"/>
          <w:sz w:val="24"/>
          <w:szCs w:val="24"/>
        </w:rPr>
        <w:t>, 691</w:t>
      </w:r>
      <w:r w:rsidRPr="006C5079">
        <w:rPr>
          <w:rFonts w:ascii="Times New Roman" w:hAnsi="Times New Roman" w:cs="Times New Roman"/>
          <w:sz w:val="24"/>
          <w:szCs w:val="24"/>
        </w:rPr>
        <w:t xml:space="preserve"> (BIA 2012)</w:t>
      </w:r>
      <w:r>
        <w:rPr>
          <w:rFonts w:ascii="Times New Roman" w:hAnsi="Times New Roman" w:cs="Times New Roman"/>
          <w:sz w:val="24"/>
          <w:szCs w:val="24"/>
        </w:rPr>
        <w:t>.</w:t>
      </w:r>
    </w:p>
    <w:p w14:paraId="0B476842" w14:textId="77777777" w:rsidR="003E0D4F" w:rsidRDefault="003E0D4F" w:rsidP="003E0D4F">
      <w:pPr>
        <w:pStyle w:val="ListParagraph"/>
        <w:spacing w:after="0"/>
        <w:ind w:left="1440"/>
        <w:rPr>
          <w:rFonts w:ascii="Times New Roman" w:hAnsi="Times New Roman" w:cs="Times New Roman"/>
          <w:sz w:val="24"/>
          <w:szCs w:val="24"/>
        </w:rPr>
      </w:pPr>
    </w:p>
    <w:p w14:paraId="4D776F69"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“In this vein, the BIA has </w:t>
      </w:r>
      <w:proofErr w:type="gramStart"/>
      <w:r>
        <w:rPr>
          <w:rFonts w:ascii="Times New Roman" w:hAnsi="Times New Roman" w:cs="Times New Roman"/>
          <w:sz w:val="24"/>
          <w:szCs w:val="24"/>
        </w:rPr>
        <w:t>issued  numerous</w:t>
      </w:r>
      <w:proofErr w:type="gramEnd"/>
      <w:r>
        <w:rPr>
          <w:rFonts w:ascii="Times New Roman" w:hAnsi="Times New Roman" w:cs="Times New Roman"/>
          <w:sz w:val="24"/>
          <w:szCs w:val="24"/>
        </w:rPr>
        <w:t xml:space="preserve"> decisions authorizing IJs to administratively close cases for a variety of reasons related to conservation of court resources.”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8-9.</w:t>
      </w:r>
    </w:p>
    <w:p w14:paraId="79F9FB43" w14:textId="77777777" w:rsidR="003E0D4F" w:rsidRDefault="003E0D4F" w:rsidP="003E0D4F">
      <w:pPr>
        <w:pStyle w:val="ListParagraph"/>
        <w:spacing w:after="0"/>
        <w:rPr>
          <w:rFonts w:ascii="Times New Roman" w:hAnsi="Times New Roman" w:cs="Times New Roman"/>
          <w:sz w:val="24"/>
          <w:szCs w:val="24"/>
        </w:rPr>
      </w:pPr>
    </w:p>
    <w:p w14:paraId="06293DAB"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i/>
          <w:iCs/>
          <w:sz w:val="24"/>
          <w:szCs w:val="24"/>
        </w:rPr>
        <w:t>Matter of Castro-Tum</w:t>
      </w:r>
      <w:r>
        <w:rPr>
          <w:rFonts w:ascii="Times New Roman" w:hAnsi="Times New Roman" w:cs="Times New Roman"/>
          <w:sz w:val="24"/>
          <w:szCs w:val="24"/>
        </w:rPr>
        <w:t xml:space="preserve"> (A.G. 2018):</w:t>
      </w:r>
    </w:p>
    <w:p w14:paraId="772F7434"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Those statutes don’t confer the power to administratively close cases.</w:t>
      </w:r>
    </w:p>
    <w:p w14:paraId="7289D9BC"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And anyway, administrative closure isn’t timely or efficient.</w:t>
      </w:r>
    </w:p>
    <w:p w14:paraId="2D730266"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So IJs &amp; BIA can only administratively close if specifically authorized by statute.</w:t>
      </w:r>
    </w:p>
    <w:p w14:paraId="302FDBB2"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 xml:space="preserve">“The Attorney General concluded that to the extent any existing regulations delegated the general authority to administratively close cases, he was exercising his ‘discretion to revoke it because the practice of administrative closure thwarts the efficient and even-handed resolution of immigration proceedings.’”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10; </w:t>
      </w:r>
      <w:r>
        <w:rPr>
          <w:rFonts w:ascii="Times New Roman" w:hAnsi="Times New Roman" w:cs="Times New Roman"/>
          <w:i/>
          <w:iCs/>
          <w:sz w:val="24"/>
          <w:szCs w:val="24"/>
        </w:rPr>
        <w:t>see Matter of Castro-Tum</w:t>
      </w:r>
      <w:r>
        <w:rPr>
          <w:rFonts w:ascii="Times New Roman" w:hAnsi="Times New Roman" w:cs="Times New Roman"/>
          <w:sz w:val="24"/>
          <w:szCs w:val="24"/>
        </w:rPr>
        <w:t xml:space="preserve"> at 288 n.10.</w:t>
      </w:r>
    </w:p>
    <w:p w14:paraId="370C10EF" w14:textId="77777777" w:rsidR="003E0D4F" w:rsidRDefault="003E0D4F" w:rsidP="003E0D4F">
      <w:pPr>
        <w:pStyle w:val="ListParagraph"/>
        <w:spacing w:after="0"/>
        <w:ind w:left="1440"/>
        <w:rPr>
          <w:rFonts w:ascii="Times New Roman" w:hAnsi="Times New Roman" w:cs="Times New Roman"/>
          <w:sz w:val="24"/>
          <w:szCs w:val="24"/>
        </w:rPr>
      </w:pPr>
    </w:p>
    <w:p w14:paraId="64F26F6C"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Matters of Deference to BIA’s Interpretation:</w:t>
      </w:r>
    </w:p>
    <w:p w14:paraId="43A970D4"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 xml:space="preserve">No </w:t>
      </w:r>
      <w:r>
        <w:rPr>
          <w:rFonts w:ascii="Times New Roman" w:hAnsi="Times New Roman" w:cs="Times New Roman"/>
          <w:i/>
          <w:iCs/>
          <w:sz w:val="24"/>
          <w:szCs w:val="24"/>
        </w:rPr>
        <w:t xml:space="preserve">Auer </w:t>
      </w:r>
      <w:r>
        <w:rPr>
          <w:rFonts w:ascii="Times New Roman" w:hAnsi="Times New Roman" w:cs="Times New Roman"/>
          <w:sz w:val="24"/>
          <w:szCs w:val="24"/>
        </w:rPr>
        <w:t>deference required, because the regulations are not ambiguous.</w:t>
      </w:r>
    </w:p>
    <w:p w14:paraId="565A52C0" w14:textId="77777777" w:rsidR="003E0D4F" w:rsidRDefault="003E0D4F" w:rsidP="003E0D4F">
      <w:pPr>
        <w:pStyle w:val="ListParagraph"/>
        <w:numPr>
          <w:ilvl w:val="2"/>
          <w:numId w:val="5"/>
        </w:numPr>
        <w:spacing w:after="0"/>
        <w:rPr>
          <w:rFonts w:ascii="Times New Roman" w:hAnsi="Times New Roman" w:cs="Times New Roman"/>
          <w:sz w:val="24"/>
          <w:szCs w:val="24"/>
        </w:rPr>
      </w:pPr>
      <w:r>
        <w:rPr>
          <w:rFonts w:ascii="Times New Roman" w:hAnsi="Times New Roman" w:cs="Times New Roman"/>
          <w:sz w:val="24"/>
          <w:szCs w:val="24"/>
        </w:rPr>
        <w:t xml:space="preserve">Even if the regulations </w:t>
      </w:r>
      <w:r>
        <w:rPr>
          <w:rFonts w:ascii="Times New Roman" w:hAnsi="Times New Roman" w:cs="Times New Roman"/>
          <w:i/>
          <w:iCs/>
          <w:sz w:val="24"/>
          <w:szCs w:val="24"/>
        </w:rPr>
        <w:t>were</w:t>
      </w:r>
      <w:r>
        <w:rPr>
          <w:rFonts w:ascii="Times New Roman" w:hAnsi="Times New Roman" w:cs="Times New Roman"/>
          <w:sz w:val="24"/>
          <w:szCs w:val="24"/>
        </w:rPr>
        <w:t xml:space="preserve"> ambiguous, the agency’s interpretation would have to be </w:t>
      </w:r>
    </w:p>
    <w:p w14:paraId="62257281" w14:textId="77777777" w:rsidR="003E0D4F" w:rsidRDefault="003E0D4F" w:rsidP="003E0D4F">
      <w:pPr>
        <w:pStyle w:val="ListParagraph"/>
        <w:numPr>
          <w:ilvl w:val="3"/>
          <w:numId w:val="5"/>
        </w:numPr>
        <w:spacing w:after="0"/>
        <w:rPr>
          <w:rFonts w:ascii="Times New Roman" w:hAnsi="Times New Roman" w:cs="Times New Roman"/>
          <w:sz w:val="24"/>
          <w:szCs w:val="24"/>
        </w:rPr>
      </w:pPr>
      <w:r>
        <w:rPr>
          <w:rFonts w:ascii="Times New Roman" w:hAnsi="Times New Roman" w:cs="Times New Roman"/>
          <w:sz w:val="24"/>
          <w:szCs w:val="24"/>
        </w:rPr>
        <w:t>Reasonable and</w:t>
      </w:r>
    </w:p>
    <w:p w14:paraId="51A6A823" w14:textId="77777777" w:rsidR="003E0D4F" w:rsidRDefault="003E0D4F" w:rsidP="003E0D4F">
      <w:pPr>
        <w:pStyle w:val="ListParagraph"/>
        <w:numPr>
          <w:ilvl w:val="3"/>
          <w:numId w:val="5"/>
        </w:numPr>
        <w:spacing w:after="0"/>
        <w:rPr>
          <w:rFonts w:ascii="Times New Roman" w:hAnsi="Times New Roman" w:cs="Times New Roman"/>
          <w:sz w:val="24"/>
          <w:szCs w:val="24"/>
        </w:rPr>
      </w:pPr>
      <w:r>
        <w:rPr>
          <w:rFonts w:ascii="Times New Roman" w:hAnsi="Times New Roman" w:cs="Times New Roman"/>
          <w:sz w:val="24"/>
          <w:szCs w:val="24"/>
        </w:rPr>
        <w:t>In keeping with the character and context of the agency’s interpretation in the past</w:t>
      </w:r>
    </w:p>
    <w:p w14:paraId="018D286D" w14:textId="77777777" w:rsidR="003E0D4F" w:rsidRDefault="003E0D4F" w:rsidP="003E0D4F">
      <w:pPr>
        <w:pStyle w:val="ListParagraph"/>
        <w:numPr>
          <w:ilvl w:val="2"/>
          <w:numId w:val="5"/>
        </w:numPr>
        <w:spacing w:after="0"/>
        <w:rPr>
          <w:rFonts w:ascii="Times New Roman" w:hAnsi="Times New Roman" w:cs="Times New Roman"/>
          <w:sz w:val="24"/>
          <w:szCs w:val="24"/>
        </w:rPr>
      </w:pPr>
      <w:r>
        <w:rPr>
          <w:rFonts w:ascii="Times New Roman" w:hAnsi="Times New Roman" w:cs="Times New Roman"/>
          <w:sz w:val="24"/>
          <w:szCs w:val="24"/>
        </w:rPr>
        <w:t>“Finally—and most important for this case—</w:t>
      </w:r>
      <w:r>
        <w:rPr>
          <w:rFonts w:ascii="Times New Roman" w:hAnsi="Times New Roman" w:cs="Times New Roman"/>
          <w:i/>
          <w:iCs/>
          <w:sz w:val="24"/>
          <w:szCs w:val="24"/>
        </w:rPr>
        <w:t>Auer</w:t>
      </w:r>
      <w:r>
        <w:rPr>
          <w:rFonts w:ascii="Times New Roman" w:hAnsi="Times New Roman" w:cs="Times New Roman"/>
          <w:sz w:val="24"/>
          <w:szCs w:val="24"/>
        </w:rPr>
        <w:t xml:space="preserve"> deference does not apply ‘to a new interpretation . . . that creates ‘unfair surprise’ to regulated parties.’”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12; </w:t>
      </w:r>
      <w:r>
        <w:rPr>
          <w:rFonts w:ascii="Times New Roman" w:hAnsi="Times New Roman" w:cs="Times New Roman"/>
          <w:i/>
          <w:iCs/>
          <w:sz w:val="24"/>
          <w:szCs w:val="24"/>
        </w:rPr>
        <w:t xml:space="preserve">see </w:t>
      </w:r>
      <w:proofErr w:type="spellStart"/>
      <w:r>
        <w:rPr>
          <w:rFonts w:ascii="Times New Roman" w:hAnsi="Times New Roman" w:cs="Times New Roman"/>
          <w:i/>
          <w:iCs/>
          <w:sz w:val="24"/>
          <w:szCs w:val="24"/>
        </w:rPr>
        <w:t>Kisor</w:t>
      </w:r>
      <w:proofErr w:type="spellEnd"/>
      <w:r>
        <w:rPr>
          <w:rFonts w:ascii="Times New Roman" w:hAnsi="Times New Roman" w:cs="Times New Roman"/>
          <w:i/>
          <w:iCs/>
          <w:sz w:val="24"/>
          <w:szCs w:val="24"/>
        </w:rPr>
        <w:t xml:space="preserve"> v. </w:t>
      </w:r>
      <w:proofErr w:type="spellStart"/>
      <w:r>
        <w:rPr>
          <w:rFonts w:ascii="Times New Roman" w:hAnsi="Times New Roman" w:cs="Times New Roman"/>
          <w:i/>
          <w:iCs/>
          <w:sz w:val="24"/>
          <w:szCs w:val="24"/>
        </w:rPr>
        <w:t>Wilkie</w:t>
      </w:r>
      <w:proofErr w:type="spellEnd"/>
      <w:r>
        <w:rPr>
          <w:rFonts w:ascii="Times New Roman" w:hAnsi="Times New Roman" w:cs="Times New Roman"/>
          <w:sz w:val="24"/>
          <w:szCs w:val="24"/>
        </w:rPr>
        <w:t>, 139 S. Ct. 2400, 2418 (2019).</w:t>
      </w:r>
    </w:p>
    <w:p w14:paraId="1F548BAE" w14:textId="77777777" w:rsidR="003E0D4F" w:rsidRDefault="003E0D4F" w:rsidP="003E0D4F">
      <w:pPr>
        <w:spacing w:after="0"/>
        <w:rPr>
          <w:rFonts w:ascii="Times New Roman" w:hAnsi="Times New Roman" w:cs="Times New Roman"/>
          <w:sz w:val="24"/>
          <w:szCs w:val="24"/>
        </w:rPr>
      </w:pPr>
    </w:p>
    <w:p w14:paraId="097F60E4" w14:textId="77777777" w:rsidR="003E0D4F" w:rsidRPr="003A7756" w:rsidRDefault="003E0D4F" w:rsidP="003E0D4F">
      <w:pPr>
        <w:spacing w:after="0"/>
        <w:rPr>
          <w:rFonts w:ascii="Times New Roman" w:hAnsi="Times New Roman" w:cs="Times New Roman"/>
          <w:b/>
          <w:bCs/>
          <w:sz w:val="24"/>
          <w:szCs w:val="24"/>
        </w:rPr>
      </w:pPr>
      <w:r>
        <w:rPr>
          <w:rFonts w:ascii="Times New Roman" w:hAnsi="Times New Roman" w:cs="Times New Roman"/>
          <w:b/>
          <w:bCs/>
          <w:sz w:val="24"/>
          <w:szCs w:val="24"/>
        </w:rPr>
        <w:t xml:space="preserve">Analysis of </w:t>
      </w:r>
      <w:r>
        <w:rPr>
          <w:rFonts w:ascii="Times New Roman" w:hAnsi="Times New Roman" w:cs="Times New Roman"/>
          <w:b/>
          <w:bCs/>
          <w:i/>
          <w:iCs/>
          <w:sz w:val="24"/>
          <w:szCs w:val="24"/>
        </w:rPr>
        <w:t>Castro-Tum</w:t>
      </w:r>
      <w:r>
        <w:rPr>
          <w:rFonts w:ascii="Times New Roman" w:hAnsi="Times New Roman" w:cs="Times New Roman"/>
          <w:b/>
          <w:bCs/>
          <w:sz w:val="24"/>
          <w:szCs w:val="24"/>
        </w:rPr>
        <w:t>:</w:t>
      </w:r>
    </w:p>
    <w:p w14:paraId="76B4BF2A" w14:textId="77777777" w:rsidR="003E0D4F" w:rsidRDefault="003E0D4F" w:rsidP="003E0D4F">
      <w:pPr>
        <w:pStyle w:val="ListParagraph"/>
        <w:numPr>
          <w:ilvl w:val="0"/>
          <w:numId w:val="5"/>
        </w:numPr>
        <w:spacing w:after="0"/>
        <w:rPr>
          <w:rFonts w:ascii="Times New Roman" w:hAnsi="Times New Roman" w:cs="Times New Roman"/>
          <w:sz w:val="24"/>
          <w:szCs w:val="24"/>
        </w:rPr>
      </w:pPr>
      <w:r w:rsidRPr="003A7756">
        <w:rPr>
          <w:rFonts w:ascii="Times New Roman" w:hAnsi="Times New Roman" w:cs="Times New Roman"/>
          <w:sz w:val="24"/>
          <w:szCs w:val="24"/>
        </w:rPr>
        <w:t xml:space="preserve">“…we conclude that the plain language of 8 C.F.R. § 1003.10(b) </w:t>
      </w:r>
      <w:r>
        <w:rPr>
          <w:rFonts w:ascii="Times New Roman" w:hAnsi="Times New Roman" w:cs="Times New Roman"/>
          <w:sz w:val="24"/>
          <w:szCs w:val="24"/>
        </w:rPr>
        <w:t xml:space="preserve">and </w:t>
      </w:r>
      <w:r w:rsidRPr="003A7756">
        <w:rPr>
          <w:rFonts w:ascii="Times New Roman" w:hAnsi="Times New Roman" w:cs="Times New Roman"/>
          <w:sz w:val="24"/>
          <w:szCs w:val="24"/>
        </w:rPr>
        <w:t>8 C.F.R. § 1003.1(d)(1)(ii)</w:t>
      </w:r>
      <w:r>
        <w:rPr>
          <w:rFonts w:ascii="Times New Roman" w:hAnsi="Times New Roman" w:cs="Times New Roman"/>
          <w:sz w:val="24"/>
          <w:szCs w:val="24"/>
        </w:rPr>
        <w:t xml:space="preserve"> unambiguously confers upon IJs and the BIA the general authority to administratively close cases such that an </w:t>
      </w:r>
      <w:r>
        <w:rPr>
          <w:rFonts w:ascii="Times New Roman" w:hAnsi="Times New Roman" w:cs="Times New Roman"/>
          <w:i/>
          <w:iCs/>
          <w:sz w:val="24"/>
          <w:szCs w:val="24"/>
        </w:rPr>
        <w:t>Auer</w:t>
      </w:r>
      <w:r>
        <w:rPr>
          <w:rFonts w:ascii="Times New Roman" w:hAnsi="Times New Roman" w:cs="Times New Roman"/>
          <w:sz w:val="24"/>
          <w:szCs w:val="24"/>
        </w:rPr>
        <w:t xml:space="preserve"> deference assessment is not warranted. But even if the regulations were ambiguous, we alternatively conclude that deference under either </w:t>
      </w:r>
      <w:r>
        <w:rPr>
          <w:rFonts w:ascii="Times New Roman" w:hAnsi="Times New Roman" w:cs="Times New Roman"/>
          <w:i/>
          <w:iCs/>
          <w:sz w:val="24"/>
          <w:szCs w:val="24"/>
        </w:rPr>
        <w:t xml:space="preserve">Auer </w:t>
      </w:r>
      <w:r>
        <w:rPr>
          <w:rFonts w:ascii="Times New Roman" w:hAnsi="Times New Roman" w:cs="Times New Roman"/>
          <w:sz w:val="24"/>
          <w:szCs w:val="24"/>
        </w:rPr>
        <w:t xml:space="preserve">or </w:t>
      </w:r>
      <w:r>
        <w:rPr>
          <w:rFonts w:ascii="Times New Roman" w:hAnsi="Times New Roman" w:cs="Times New Roman"/>
          <w:i/>
          <w:iCs/>
          <w:sz w:val="24"/>
          <w:szCs w:val="24"/>
        </w:rPr>
        <w:t>Skidmore v. Swift &amp; Co.</w:t>
      </w:r>
      <w:r>
        <w:rPr>
          <w:rFonts w:ascii="Times New Roman" w:hAnsi="Times New Roman" w:cs="Times New Roman"/>
          <w:sz w:val="24"/>
          <w:szCs w:val="24"/>
        </w:rPr>
        <w:t xml:space="preserve">, 323 U.S. 134, 140 (1944), is not merited.”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13.</w:t>
      </w:r>
    </w:p>
    <w:p w14:paraId="0F169686" w14:textId="77777777" w:rsidR="003E0D4F" w:rsidRDefault="003E0D4F" w:rsidP="003E0D4F">
      <w:pPr>
        <w:pStyle w:val="ListParagraph"/>
        <w:spacing w:after="0"/>
        <w:rPr>
          <w:rFonts w:ascii="Times New Roman" w:hAnsi="Times New Roman" w:cs="Times New Roman"/>
          <w:sz w:val="24"/>
          <w:szCs w:val="24"/>
        </w:rPr>
      </w:pPr>
    </w:p>
    <w:p w14:paraId="70994FE5" w14:textId="77777777" w:rsidR="003E0D4F" w:rsidRDefault="003E0D4F" w:rsidP="003E0D4F">
      <w:pPr>
        <w:pStyle w:val="ListParagraph"/>
        <w:spacing w:after="0"/>
        <w:rPr>
          <w:rFonts w:ascii="Times New Roman" w:hAnsi="Times New Roman" w:cs="Times New Roman"/>
          <w:sz w:val="24"/>
          <w:szCs w:val="24"/>
        </w:rPr>
      </w:pPr>
    </w:p>
    <w:p w14:paraId="449AED64" w14:textId="77777777" w:rsidR="003E0D4F" w:rsidRDefault="003E0D4F" w:rsidP="003E0D4F">
      <w:pPr>
        <w:pStyle w:val="ListParagraph"/>
        <w:spacing w:after="0"/>
        <w:rPr>
          <w:rFonts w:ascii="Times New Roman" w:hAnsi="Times New Roman" w:cs="Times New Roman"/>
          <w:sz w:val="24"/>
          <w:szCs w:val="24"/>
        </w:rPr>
      </w:pPr>
    </w:p>
    <w:p w14:paraId="0691F012"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lastRenderedPageBreak/>
        <w:t>Do these regulations confer authority on IJs and the Board to administratively close cases?</w:t>
      </w:r>
    </w:p>
    <w:p w14:paraId="27B394BE"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Gov’t says no.</w:t>
      </w:r>
    </w:p>
    <w:p w14:paraId="2F5E0B53"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 xml:space="preserve">“But Romero points to the expansive language in those regulations as conferring such authority.” </w:t>
      </w:r>
    </w:p>
    <w:p w14:paraId="45E541E0" w14:textId="77777777" w:rsidR="003E0D4F" w:rsidRPr="0081438A"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1003.10(b):</w:t>
      </w:r>
      <w:r>
        <w:rPr>
          <w:rFonts w:ascii="Times New Roman" w:hAnsi="Times New Roman" w:cs="Times New Roman"/>
          <w:sz w:val="24"/>
          <w:szCs w:val="24"/>
        </w:rPr>
        <w:t xml:space="preserve"> </w:t>
      </w:r>
      <w:r>
        <w:rPr>
          <w:rFonts w:ascii="Times New Roman" w:hAnsi="Times New Roman" w:cs="Times New Roman"/>
          <w:color w:val="000000"/>
          <w:sz w:val="24"/>
          <w:szCs w:val="24"/>
          <w:shd w:val="clear" w:color="auto" w:fill="FFFFFF"/>
        </w:rPr>
        <w:t>“</w:t>
      </w:r>
      <w:r w:rsidRPr="00AD0157">
        <w:rPr>
          <w:rFonts w:ascii="Times New Roman" w:hAnsi="Times New Roman" w:cs="Times New Roman"/>
          <w:color w:val="000000"/>
          <w:sz w:val="24"/>
          <w:szCs w:val="24"/>
          <w:shd w:val="clear" w:color="auto" w:fill="FFFFFF"/>
        </w:rPr>
        <w:t>In deciding the individual cases before them, and subject to the applicable governing standards, immigration judges shall exercise their independent judgment and discretion and may take any action consistent with their authorities under the Act and regulations that is appropriate and necessary for the disposition of such cases.</w:t>
      </w:r>
      <w:r>
        <w:rPr>
          <w:rFonts w:ascii="Times New Roman" w:hAnsi="Times New Roman" w:cs="Times New Roman"/>
          <w:color w:val="000000"/>
          <w:sz w:val="24"/>
          <w:szCs w:val="24"/>
          <w:shd w:val="clear" w:color="auto" w:fill="FFFFFF"/>
        </w:rPr>
        <w:t>”</w:t>
      </w:r>
    </w:p>
    <w:p w14:paraId="071CF63C" w14:textId="77777777" w:rsidR="003E0D4F" w:rsidRPr="0081438A"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b/>
          <w:bCs/>
          <w:sz w:val="24"/>
          <w:szCs w:val="24"/>
        </w:rPr>
        <w:t>8 C.F.R. § 1003.1(d)(1)(ii):</w:t>
      </w:r>
      <w:r>
        <w:rPr>
          <w:rFonts w:ascii="Times New Roman" w:hAnsi="Times New Roman" w:cs="Times New Roman"/>
          <w:sz w:val="24"/>
          <w:szCs w:val="24"/>
        </w:rPr>
        <w:t xml:space="preserve"> “</w:t>
      </w:r>
      <w:r w:rsidRPr="00AD0157">
        <w:rPr>
          <w:rFonts w:ascii="Times New Roman" w:hAnsi="Times New Roman" w:cs="Times New Roman"/>
          <w:color w:val="000000"/>
          <w:sz w:val="24"/>
          <w:szCs w:val="24"/>
          <w:shd w:val="clear" w:color="auto" w:fill="FFFFFF"/>
        </w:rPr>
        <w:t>Board members shall exercise their independent judgment and discretion in considering and determining the cases coming before the Board, and a panel or Board member to whom a case is assigned may take any action consistent with their authorities under the Act and the regulations as is appropriate and necessary for the disposition of the case.</w:t>
      </w:r>
      <w:r>
        <w:rPr>
          <w:rFonts w:ascii="Times New Roman" w:hAnsi="Times New Roman" w:cs="Times New Roman"/>
          <w:color w:val="000000"/>
          <w:sz w:val="24"/>
          <w:szCs w:val="24"/>
          <w:shd w:val="clear" w:color="auto" w:fill="FFFFFF"/>
        </w:rPr>
        <w:t>”</w:t>
      </w:r>
    </w:p>
    <w:p w14:paraId="7D1F16B0" w14:textId="77777777" w:rsidR="003E0D4F" w:rsidRPr="0081438A" w:rsidRDefault="003E0D4F" w:rsidP="003E0D4F">
      <w:pPr>
        <w:pStyle w:val="ListParagraph"/>
        <w:spacing w:after="0"/>
        <w:ind w:left="1440"/>
        <w:rPr>
          <w:rFonts w:ascii="Times New Roman" w:hAnsi="Times New Roman" w:cs="Times New Roman"/>
          <w:sz w:val="24"/>
          <w:szCs w:val="24"/>
        </w:rPr>
      </w:pPr>
    </w:p>
    <w:p w14:paraId="2CB6554D"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“…we clearly discern from the text that the authority of IJs and the BIA to administratively close cases is conferred by the plain language” of these statutes.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14.</w:t>
      </w:r>
    </w:p>
    <w:p w14:paraId="69F32C15"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 xml:space="preserve">“any action” includes administrative closure: “this would plainly include docket management actions such as administrative closure, which often facilitate, as discussed above and below, case resolution.”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14-15.</w:t>
      </w:r>
    </w:p>
    <w:p w14:paraId="30EF1BEA" w14:textId="77777777" w:rsidR="003E0D4F" w:rsidRDefault="003E0D4F" w:rsidP="003E0D4F">
      <w:pPr>
        <w:pStyle w:val="ListParagraph"/>
        <w:spacing w:after="0"/>
        <w:ind w:left="1440"/>
        <w:rPr>
          <w:rFonts w:ascii="Times New Roman" w:hAnsi="Times New Roman" w:cs="Times New Roman"/>
          <w:sz w:val="24"/>
          <w:szCs w:val="24"/>
        </w:rPr>
      </w:pPr>
    </w:p>
    <w:p w14:paraId="600EA444" w14:textId="77777777" w:rsidR="003E0D4F" w:rsidRDefault="003E0D4F" w:rsidP="003E0D4F">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Is administrative closure ever “appropriate and necessary”?</w:t>
      </w:r>
    </w:p>
    <w:p w14:paraId="2CC0B0C0" w14:textId="77777777" w:rsidR="003E0D4F" w:rsidRDefault="003E0D4F" w:rsidP="003E0D4F">
      <w:pPr>
        <w:pStyle w:val="ListParagraph"/>
        <w:numPr>
          <w:ilvl w:val="1"/>
          <w:numId w:val="5"/>
        </w:numPr>
        <w:spacing w:after="0"/>
        <w:rPr>
          <w:rFonts w:ascii="Times New Roman" w:hAnsi="Times New Roman" w:cs="Times New Roman"/>
          <w:sz w:val="24"/>
          <w:szCs w:val="24"/>
        </w:rPr>
      </w:pPr>
      <w:r>
        <w:rPr>
          <w:rFonts w:ascii="Times New Roman" w:hAnsi="Times New Roman" w:cs="Times New Roman"/>
          <w:sz w:val="24"/>
          <w:szCs w:val="24"/>
        </w:rPr>
        <w:t>Yes: continuances are not always the most appropriate mechanism, because some delays cannot be resolved by the action of one of the parties (as would be expected with a short continuance). Where an indefinite delay can only be resolved by actions outside the parties’ control, administrative closure is the most appropriate path.</w:t>
      </w:r>
    </w:p>
    <w:p w14:paraId="77498CBD" w14:textId="77777777" w:rsidR="003E0D4F" w:rsidRPr="00D7403F" w:rsidRDefault="003E0D4F" w:rsidP="003E0D4F">
      <w:pPr>
        <w:pStyle w:val="ListParagraph"/>
        <w:numPr>
          <w:ilvl w:val="1"/>
          <w:numId w:val="5"/>
        </w:numPr>
        <w:spacing w:after="0"/>
        <w:rPr>
          <w:rFonts w:ascii="Times New Roman" w:hAnsi="Times New Roman" w:cs="Times New Roman"/>
          <w:b/>
          <w:bCs/>
          <w:sz w:val="24"/>
          <w:szCs w:val="24"/>
        </w:rPr>
      </w:pPr>
      <w:r w:rsidRPr="00D7403F">
        <w:rPr>
          <w:rFonts w:ascii="Times New Roman" w:hAnsi="Times New Roman" w:cs="Times New Roman"/>
          <w:b/>
          <w:bCs/>
          <w:sz w:val="24"/>
          <w:szCs w:val="24"/>
        </w:rPr>
        <w:t>“…expecting IJs and the BIA to employ continuances in the stead of administrative closure would further remove the discretion of these adjudicators to fashion the most flexible and appropriate resolution of a case.”</w:t>
      </w:r>
      <w:r>
        <w:rPr>
          <w:rFonts w:ascii="Times New Roman" w:hAnsi="Times New Roman" w:cs="Times New Roman"/>
          <w:b/>
          <w:bCs/>
          <w:sz w:val="24"/>
          <w:szCs w:val="24"/>
        </w:rPr>
        <w:t xml:space="preserv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15 n.12.</w:t>
      </w:r>
    </w:p>
    <w:p w14:paraId="5BA92A71" w14:textId="77777777" w:rsidR="003E0D4F" w:rsidRPr="00D7403F" w:rsidRDefault="003E0D4F" w:rsidP="003E0D4F">
      <w:pPr>
        <w:pStyle w:val="ListParagraph"/>
        <w:spacing w:after="0"/>
        <w:ind w:left="1440"/>
        <w:rPr>
          <w:rFonts w:ascii="Times New Roman" w:hAnsi="Times New Roman" w:cs="Times New Roman"/>
          <w:b/>
          <w:bCs/>
          <w:sz w:val="24"/>
          <w:szCs w:val="24"/>
        </w:rPr>
      </w:pPr>
    </w:p>
    <w:p w14:paraId="03CE0D97" w14:textId="77777777" w:rsidR="003E0D4F" w:rsidRPr="00D7403F" w:rsidRDefault="003E0D4F" w:rsidP="003E0D4F">
      <w:pPr>
        <w:pStyle w:val="ListParagraph"/>
        <w:numPr>
          <w:ilvl w:val="1"/>
          <w:numId w:val="5"/>
        </w:numPr>
        <w:spacing w:after="0"/>
        <w:rPr>
          <w:rFonts w:ascii="Times New Roman" w:hAnsi="Times New Roman" w:cs="Times New Roman"/>
          <w:b/>
          <w:bCs/>
          <w:sz w:val="24"/>
          <w:szCs w:val="24"/>
        </w:rPr>
      </w:pPr>
      <w:r>
        <w:rPr>
          <w:rFonts w:ascii="Times New Roman" w:hAnsi="Times New Roman" w:cs="Times New Roman"/>
          <w:i/>
          <w:iCs/>
          <w:sz w:val="24"/>
          <w:szCs w:val="24"/>
        </w:rPr>
        <w:t xml:space="preserve">“Avetisyan </w:t>
      </w:r>
      <w:r w:rsidRPr="00D7403F">
        <w:rPr>
          <w:rFonts w:ascii="Times New Roman" w:hAnsi="Times New Roman" w:cs="Times New Roman"/>
          <w:sz w:val="24"/>
          <w:szCs w:val="24"/>
        </w:rPr>
        <w:t>demonstrates how suspension of the case may in fact expedite and result in a final disposition.”</w:t>
      </w:r>
      <w:r>
        <w:rPr>
          <w:rFonts w:ascii="Times New Roman" w:hAnsi="Times New Roman" w:cs="Times New Roman"/>
          <w:sz w:val="24"/>
          <w:szCs w:val="24"/>
        </w:rPr>
        <w:t xml:space="preserv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15 n.13.</w:t>
      </w:r>
    </w:p>
    <w:p w14:paraId="12EC19D9" w14:textId="77777777" w:rsidR="003E0D4F" w:rsidRPr="00D7403F" w:rsidRDefault="003E0D4F" w:rsidP="003E0D4F">
      <w:pPr>
        <w:pStyle w:val="ListParagraph"/>
        <w:rPr>
          <w:rFonts w:ascii="Times New Roman" w:hAnsi="Times New Roman" w:cs="Times New Roman"/>
          <w:b/>
          <w:bCs/>
          <w:sz w:val="24"/>
          <w:szCs w:val="24"/>
        </w:rPr>
      </w:pPr>
    </w:p>
    <w:p w14:paraId="06A851F5" w14:textId="77777777" w:rsidR="003E0D4F" w:rsidRPr="00D7403F"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“In sum, these regulations unambiguously confer upon IJs and the BIA the general authority to administratively close cases. Accordingly, there is no </w:t>
      </w:r>
      <w:r>
        <w:rPr>
          <w:rFonts w:ascii="Times New Roman" w:hAnsi="Times New Roman" w:cs="Times New Roman"/>
          <w:i/>
          <w:iCs/>
          <w:sz w:val="24"/>
          <w:szCs w:val="24"/>
        </w:rPr>
        <w:t>Auer</w:t>
      </w:r>
      <w:r>
        <w:rPr>
          <w:rFonts w:ascii="Times New Roman" w:hAnsi="Times New Roman" w:cs="Times New Roman"/>
          <w:sz w:val="24"/>
          <w:szCs w:val="24"/>
        </w:rPr>
        <w:t xml:space="preserve"> deference analysis to be conducted. </w:t>
      </w:r>
      <w:r>
        <w:rPr>
          <w:rFonts w:ascii="Times New Roman" w:hAnsi="Times New Roman" w:cs="Times New Roman"/>
          <w:b/>
          <w:bCs/>
          <w:i/>
          <w:iCs/>
          <w:sz w:val="24"/>
          <w:szCs w:val="24"/>
        </w:rPr>
        <w:t>Castro-Tum</w:t>
      </w:r>
      <w:r>
        <w:rPr>
          <w:rFonts w:ascii="Times New Roman" w:hAnsi="Times New Roman" w:cs="Times New Roman"/>
          <w:b/>
          <w:bCs/>
          <w:sz w:val="24"/>
          <w:szCs w:val="24"/>
        </w:rPr>
        <w:t>’s interpretation of these regulations is therefore in error.</w:t>
      </w:r>
      <w:r>
        <w:rPr>
          <w:rFonts w:ascii="Times New Roman" w:hAnsi="Times New Roman" w:cs="Times New Roman"/>
          <w:sz w:val="24"/>
          <w:szCs w:val="24"/>
        </w:rPr>
        <w:t xml:space="preserv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18.</w:t>
      </w:r>
    </w:p>
    <w:p w14:paraId="025CD95B" w14:textId="77777777" w:rsidR="003E0D4F" w:rsidRPr="00D7403F" w:rsidRDefault="003E0D4F" w:rsidP="003E0D4F">
      <w:pPr>
        <w:pStyle w:val="ListParagraph"/>
        <w:spacing w:after="0"/>
        <w:rPr>
          <w:rFonts w:ascii="Times New Roman" w:hAnsi="Times New Roman" w:cs="Times New Roman"/>
          <w:b/>
          <w:bCs/>
          <w:sz w:val="24"/>
          <w:szCs w:val="24"/>
        </w:rPr>
      </w:pPr>
    </w:p>
    <w:p w14:paraId="3F0B381F" w14:textId="77777777" w:rsidR="003E0D4F" w:rsidRPr="00D7403F"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lastRenderedPageBreak/>
        <w:t xml:space="preserve">Even if the regulations </w:t>
      </w:r>
      <w:r>
        <w:rPr>
          <w:rFonts w:ascii="Times New Roman" w:hAnsi="Times New Roman" w:cs="Times New Roman"/>
          <w:i/>
          <w:iCs/>
          <w:sz w:val="24"/>
          <w:szCs w:val="24"/>
        </w:rPr>
        <w:t>were</w:t>
      </w:r>
      <w:r>
        <w:rPr>
          <w:rFonts w:ascii="Times New Roman" w:hAnsi="Times New Roman" w:cs="Times New Roman"/>
          <w:sz w:val="24"/>
          <w:szCs w:val="24"/>
        </w:rPr>
        <w:t xml:space="preserve"> ambiguous, </w:t>
      </w:r>
      <w:r>
        <w:rPr>
          <w:rFonts w:ascii="Times New Roman" w:hAnsi="Times New Roman" w:cs="Times New Roman"/>
          <w:i/>
          <w:iCs/>
          <w:sz w:val="24"/>
          <w:szCs w:val="24"/>
        </w:rPr>
        <w:t>Castro-Tum</w:t>
      </w:r>
      <w:r>
        <w:rPr>
          <w:rFonts w:ascii="Times New Roman" w:hAnsi="Times New Roman" w:cs="Times New Roman"/>
          <w:sz w:val="24"/>
          <w:szCs w:val="24"/>
        </w:rPr>
        <w:t xml:space="preserve"> represents such a departure from the A.G.’s interpretation that it amounts to unfair surprise:</w:t>
      </w:r>
    </w:p>
    <w:p w14:paraId="2C74E2B8" w14:textId="77777777" w:rsidR="003E0D4F" w:rsidRPr="00D7403F" w:rsidRDefault="003E0D4F" w:rsidP="003E0D4F">
      <w:pPr>
        <w:pStyle w:val="ListParagraph"/>
        <w:numPr>
          <w:ilvl w:val="1"/>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“the Attorney General’s reading of the regulations does not warrant deference because it amounts to an ‘unfair surprise’ disrupting the regulated parties’ expectations.”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19 (quoting </w:t>
      </w:r>
      <w:proofErr w:type="spellStart"/>
      <w:r>
        <w:rPr>
          <w:rFonts w:ascii="Times New Roman" w:hAnsi="Times New Roman" w:cs="Times New Roman"/>
          <w:i/>
          <w:iCs/>
          <w:sz w:val="24"/>
          <w:szCs w:val="24"/>
        </w:rPr>
        <w:t>Kisor</w:t>
      </w:r>
      <w:proofErr w:type="spellEnd"/>
      <w:r>
        <w:rPr>
          <w:rFonts w:ascii="Times New Roman" w:hAnsi="Times New Roman" w:cs="Times New Roman"/>
          <w:sz w:val="24"/>
          <w:szCs w:val="24"/>
        </w:rPr>
        <w:t xml:space="preserve">, 139 S. Ct. at 2417-18, quoting in turn </w:t>
      </w:r>
      <w:r>
        <w:rPr>
          <w:rFonts w:ascii="Times New Roman" w:hAnsi="Times New Roman" w:cs="Times New Roman"/>
          <w:i/>
          <w:iCs/>
          <w:sz w:val="24"/>
          <w:szCs w:val="24"/>
        </w:rPr>
        <w:t>Long Island Care at Home, Ltd. V. Coke</w:t>
      </w:r>
      <w:r>
        <w:rPr>
          <w:rFonts w:ascii="Times New Roman" w:hAnsi="Times New Roman" w:cs="Times New Roman"/>
          <w:sz w:val="24"/>
          <w:szCs w:val="24"/>
        </w:rPr>
        <w:t>, 551 U.S. 158, 170 (2007)).</w:t>
      </w:r>
    </w:p>
    <w:p w14:paraId="1B2A7514" w14:textId="77777777" w:rsidR="003E0D4F" w:rsidRPr="00D7403F" w:rsidRDefault="003E0D4F" w:rsidP="003E0D4F">
      <w:pPr>
        <w:pStyle w:val="ListParagraph"/>
        <w:spacing w:after="0"/>
        <w:ind w:left="1440"/>
        <w:rPr>
          <w:rFonts w:ascii="Times New Roman" w:hAnsi="Times New Roman" w:cs="Times New Roman"/>
          <w:b/>
          <w:bCs/>
          <w:sz w:val="24"/>
          <w:szCs w:val="24"/>
        </w:rPr>
      </w:pPr>
    </w:p>
    <w:p w14:paraId="46DA37A3" w14:textId="77777777" w:rsidR="003E0D4F" w:rsidRPr="00D7403F"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b/>
          <w:bCs/>
          <w:sz w:val="24"/>
          <w:szCs w:val="24"/>
        </w:rPr>
        <w:t xml:space="preserve">“…the new interpretation in </w:t>
      </w:r>
      <w:r>
        <w:rPr>
          <w:rFonts w:ascii="Times New Roman" w:hAnsi="Times New Roman" w:cs="Times New Roman"/>
          <w:b/>
          <w:bCs/>
          <w:i/>
          <w:iCs/>
          <w:sz w:val="24"/>
          <w:szCs w:val="24"/>
        </w:rPr>
        <w:t>Castro-Tum</w:t>
      </w:r>
      <w:r>
        <w:rPr>
          <w:rFonts w:ascii="Times New Roman" w:hAnsi="Times New Roman" w:cs="Times New Roman"/>
          <w:b/>
          <w:bCs/>
          <w:sz w:val="24"/>
          <w:szCs w:val="24"/>
        </w:rPr>
        <w:t xml:space="preserve"> (1) breaks with decades of the agency’s use and acceptance of administrative closure and (2) fails to give ‘fair warning’ to the regulated parties of a change in a longstanding procedure.”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21.</w:t>
      </w:r>
    </w:p>
    <w:p w14:paraId="3C954AF9" w14:textId="77777777" w:rsidR="003E0D4F" w:rsidRPr="00D7403F" w:rsidRDefault="003E0D4F" w:rsidP="003E0D4F">
      <w:pPr>
        <w:pStyle w:val="ListParagraph"/>
        <w:spacing w:after="0"/>
        <w:rPr>
          <w:rFonts w:ascii="Times New Roman" w:hAnsi="Times New Roman" w:cs="Times New Roman"/>
          <w:b/>
          <w:bCs/>
          <w:sz w:val="24"/>
          <w:szCs w:val="24"/>
        </w:rPr>
      </w:pPr>
    </w:p>
    <w:p w14:paraId="4669F55E"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“…administrative closure has been a procedural mechanism employed by IJs and the BIA since the late 1980s and consistently reaffirmed—even if its precise contours have changed—through the BIA’s precedential decisions.”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22.</w:t>
      </w:r>
    </w:p>
    <w:p w14:paraId="69F6F8DA" w14:textId="77777777" w:rsidR="003E0D4F" w:rsidRPr="00460A1B" w:rsidRDefault="003E0D4F" w:rsidP="003E0D4F">
      <w:pPr>
        <w:pStyle w:val="ListParagraph"/>
        <w:rPr>
          <w:rFonts w:ascii="Times New Roman" w:hAnsi="Times New Roman" w:cs="Times New Roman"/>
          <w:b/>
          <w:bCs/>
          <w:sz w:val="24"/>
          <w:szCs w:val="24"/>
        </w:rPr>
      </w:pPr>
    </w:p>
    <w:p w14:paraId="42B5BE01"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sz w:val="24"/>
          <w:szCs w:val="24"/>
        </w:rPr>
        <w:t>“Accordingly, numerous petitioners have relied on this long-established procedural mechanism to proceed through the immigration process. To suddenly change this interpretation of the regulation undermines the significant reliance interests such petitioners have developed</w:t>
      </w:r>
      <w:proofErr w:type="gramStart"/>
      <w:r>
        <w:rPr>
          <w:rFonts w:ascii="Times New Roman" w:hAnsi="Times New Roman" w:cs="Times New Roman"/>
          <w:sz w:val="24"/>
          <w:szCs w:val="24"/>
        </w:rPr>
        <w:t>. . . .</w:t>
      </w:r>
      <w:proofErr w:type="gramEnd"/>
      <w:r>
        <w:rPr>
          <w:rFonts w:ascii="Times New Roman" w:hAnsi="Times New Roman" w:cs="Times New Roman"/>
          <w:sz w:val="24"/>
          <w:szCs w:val="24"/>
        </w:rPr>
        <w:t xml:space="preserve"> </w:t>
      </w:r>
      <w:r w:rsidRPr="00460A1B">
        <w:rPr>
          <w:rFonts w:ascii="Times New Roman" w:hAnsi="Times New Roman" w:cs="Times New Roman"/>
          <w:b/>
          <w:bCs/>
          <w:sz w:val="24"/>
          <w:szCs w:val="24"/>
        </w:rPr>
        <w:t>[S]</w:t>
      </w:r>
      <w:proofErr w:type="spellStart"/>
      <w:r w:rsidRPr="00460A1B">
        <w:rPr>
          <w:rFonts w:ascii="Times New Roman" w:hAnsi="Times New Roman" w:cs="Times New Roman"/>
          <w:b/>
          <w:bCs/>
          <w:sz w:val="24"/>
          <w:szCs w:val="24"/>
        </w:rPr>
        <w:t>uch</w:t>
      </w:r>
      <w:proofErr w:type="spellEnd"/>
      <w:r w:rsidRPr="00460A1B">
        <w:rPr>
          <w:rFonts w:ascii="Times New Roman" w:hAnsi="Times New Roman" w:cs="Times New Roman"/>
          <w:b/>
          <w:bCs/>
          <w:sz w:val="24"/>
          <w:szCs w:val="24"/>
        </w:rPr>
        <w:t xml:space="preserve"> a sudden shift in longstanding agency interpretation frustrates mechanisms</w:t>
      </w:r>
      <w:r>
        <w:rPr>
          <w:rFonts w:ascii="Times New Roman" w:hAnsi="Times New Roman" w:cs="Times New Roman"/>
          <w:b/>
          <w:bCs/>
          <w:sz w:val="24"/>
          <w:szCs w:val="24"/>
        </w:rPr>
        <w:t xml:space="preserve"> for predictability that are supposed to be baked into the administrative process.</w:t>
      </w:r>
      <w:r>
        <w:rPr>
          <w:rFonts w:ascii="Times New Roman" w:hAnsi="Times New Roman" w:cs="Times New Roman"/>
          <w:sz w:val="24"/>
          <w:szCs w:val="24"/>
        </w:rPr>
        <w:t xml:space="preserve">” </w:t>
      </w:r>
      <w:r>
        <w:rPr>
          <w:rFonts w:ascii="Times New Roman" w:hAnsi="Times New Roman" w:cs="Times New Roman"/>
          <w:i/>
          <w:iCs/>
          <w:sz w:val="24"/>
          <w:szCs w:val="24"/>
        </w:rPr>
        <w:t>See Christopher v. SmithKline Beecham Corp.</w:t>
      </w:r>
      <w:r>
        <w:rPr>
          <w:rFonts w:ascii="Times New Roman" w:hAnsi="Times New Roman" w:cs="Times New Roman"/>
          <w:sz w:val="24"/>
          <w:szCs w:val="24"/>
        </w:rPr>
        <w:t>, 567 U.S. 142, 158 (2012).</w:t>
      </w:r>
    </w:p>
    <w:p w14:paraId="5146FB0A" w14:textId="77777777" w:rsidR="003E0D4F" w:rsidRPr="00460A1B" w:rsidRDefault="003E0D4F" w:rsidP="003E0D4F">
      <w:pPr>
        <w:pStyle w:val="ListParagraph"/>
        <w:rPr>
          <w:rFonts w:ascii="Times New Roman" w:hAnsi="Times New Roman" w:cs="Times New Roman"/>
          <w:b/>
          <w:bCs/>
          <w:sz w:val="24"/>
          <w:szCs w:val="24"/>
        </w:rPr>
      </w:pPr>
    </w:p>
    <w:p w14:paraId="2B197DD5" w14:textId="77777777" w:rsidR="003E0D4F" w:rsidRPr="00460A1B"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i/>
          <w:iCs/>
          <w:sz w:val="24"/>
          <w:szCs w:val="24"/>
        </w:rPr>
        <w:t>Castro-Tum</w:t>
      </w:r>
      <w:r>
        <w:rPr>
          <w:rFonts w:ascii="Times New Roman" w:hAnsi="Times New Roman" w:cs="Times New Roman"/>
          <w:sz w:val="24"/>
          <w:szCs w:val="24"/>
        </w:rPr>
        <w:t xml:space="preserve"> is “internally inconsistent”:</w:t>
      </w:r>
    </w:p>
    <w:p w14:paraId="0BFD2DFF" w14:textId="77777777" w:rsidR="003E0D4F" w:rsidRPr="009C2488" w:rsidRDefault="003E0D4F" w:rsidP="003E0D4F">
      <w:pPr>
        <w:pStyle w:val="ListParagraph"/>
        <w:numPr>
          <w:ilvl w:val="1"/>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“…it would in fact serve to lengthen and delay many of these proceedings by: (1) depriving IJs and the BIA of flexible docketing measures sometimes required for adjudication of an immigration proceeding, as illustrated by </w:t>
      </w:r>
      <w:r>
        <w:rPr>
          <w:rFonts w:ascii="Times New Roman" w:hAnsi="Times New Roman" w:cs="Times New Roman"/>
          <w:i/>
          <w:iCs/>
          <w:sz w:val="24"/>
          <w:szCs w:val="24"/>
        </w:rPr>
        <w:t>Avetisyan</w:t>
      </w:r>
      <w:r>
        <w:rPr>
          <w:rFonts w:ascii="Times New Roman" w:hAnsi="Times New Roman" w:cs="Times New Roman"/>
          <w:sz w:val="24"/>
          <w:szCs w:val="24"/>
        </w:rPr>
        <w:t xml:space="preserve">, and (2) leading to the reopening of over 330,000 cases upon the motion of either party, straining the burden on immigration courts that </w:t>
      </w:r>
      <w:r>
        <w:rPr>
          <w:rFonts w:ascii="Times New Roman" w:hAnsi="Times New Roman" w:cs="Times New Roman"/>
          <w:i/>
          <w:iCs/>
          <w:sz w:val="24"/>
          <w:szCs w:val="24"/>
        </w:rPr>
        <w:t>Castro-Tum</w:t>
      </w:r>
      <w:r>
        <w:rPr>
          <w:rFonts w:ascii="Times New Roman" w:hAnsi="Times New Roman" w:cs="Times New Roman"/>
          <w:sz w:val="24"/>
          <w:szCs w:val="24"/>
        </w:rPr>
        <w:t xml:space="preserve"> purports to alleviate.”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22.</w:t>
      </w:r>
    </w:p>
    <w:p w14:paraId="0ADA4C68" w14:textId="77777777" w:rsidR="003E0D4F" w:rsidRPr="009C2488" w:rsidRDefault="003E0D4F" w:rsidP="003E0D4F">
      <w:pPr>
        <w:pStyle w:val="ListParagraph"/>
        <w:spacing w:after="0"/>
        <w:ind w:left="1440"/>
        <w:rPr>
          <w:rFonts w:ascii="Times New Roman" w:hAnsi="Times New Roman" w:cs="Times New Roman"/>
          <w:b/>
          <w:bCs/>
          <w:sz w:val="24"/>
          <w:szCs w:val="24"/>
        </w:rPr>
      </w:pPr>
    </w:p>
    <w:p w14:paraId="73B1F12B" w14:textId="77777777" w:rsidR="003E0D4F" w:rsidRPr="009C2488" w:rsidRDefault="003E0D4F" w:rsidP="003E0D4F">
      <w:pPr>
        <w:pStyle w:val="ListParagraph"/>
        <w:numPr>
          <w:ilvl w:val="0"/>
          <w:numId w:val="5"/>
        </w:numPr>
        <w:spacing w:after="0"/>
        <w:rPr>
          <w:rFonts w:ascii="Times New Roman" w:hAnsi="Times New Roman" w:cs="Times New Roman"/>
          <w:b/>
          <w:bCs/>
          <w:sz w:val="24"/>
          <w:szCs w:val="24"/>
        </w:rPr>
      </w:pPr>
      <w:r>
        <w:rPr>
          <w:rFonts w:ascii="Times New Roman" w:hAnsi="Times New Roman" w:cs="Times New Roman"/>
          <w:i/>
          <w:iCs/>
          <w:sz w:val="24"/>
          <w:szCs w:val="24"/>
        </w:rPr>
        <w:t xml:space="preserve">Skidmore </w:t>
      </w:r>
      <w:r>
        <w:rPr>
          <w:rFonts w:ascii="Times New Roman" w:hAnsi="Times New Roman" w:cs="Times New Roman"/>
          <w:sz w:val="24"/>
          <w:szCs w:val="24"/>
        </w:rPr>
        <w:t>deference is also unwarranted:</w:t>
      </w:r>
    </w:p>
    <w:p w14:paraId="0C7DF217" w14:textId="77777777" w:rsidR="003E0D4F" w:rsidRPr="00D7403F" w:rsidRDefault="003E0D4F" w:rsidP="003E0D4F">
      <w:pPr>
        <w:pStyle w:val="ListParagraph"/>
        <w:numPr>
          <w:ilvl w:val="1"/>
          <w:numId w:val="5"/>
        </w:numPr>
        <w:spacing w:after="0"/>
        <w:rPr>
          <w:rFonts w:ascii="Times New Roman" w:hAnsi="Times New Roman" w:cs="Times New Roman"/>
          <w:b/>
          <w:bCs/>
          <w:sz w:val="24"/>
          <w:szCs w:val="24"/>
        </w:rPr>
      </w:pPr>
      <w:r>
        <w:rPr>
          <w:rFonts w:ascii="Times New Roman" w:hAnsi="Times New Roman" w:cs="Times New Roman"/>
          <w:sz w:val="24"/>
          <w:szCs w:val="24"/>
        </w:rPr>
        <w:t xml:space="preserve">“And here, a court reviewing </w:t>
      </w:r>
      <w:r>
        <w:rPr>
          <w:rFonts w:ascii="Times New Roman" w:hAnsi="Times New Roman" w:cs="Times New Roman"/>
          <w:i/>
          <w:iCs/>
          <w:sz w:val="24"/>
          <w:szCs w:val="24"/>
        </w:rPr>
        <w:t>Castro-Tum</w:t>
      </w:r>
      <w:r>
        <w:rPr>
          <w:rFonts w:ascii="Times New Roman" w:hAnsi="Times New Roman" w:cs="Times New Roman"/>
          <w:sz w:val="24"/>
          <w:szCs w:val="24"/>
        </w:rPr>
        <w:t xml:space="preserve"> for </w:t>
      </w:r>
      <w:r>
        <w:rPr>
          <w:rFonts w:ascii="Times New Roman" w:hAnsi="Times New Roman" w:cs="Times New Roman"/>
          <w:i/>
          <w:iCs/>
          <w:sz w:val="24"/>
          <w:szCs w:val="24"/>
        </w:rPr>
        <w:t>Skidmore</w:t>
      </w:r>
      <w:r>
        <w:rPr>
          <w:rFonts w:ascii="Times New Roman" w:hAnsi="Times New Roman" w:cs="Times New Roman"/>
          <w:sz w:val="24"/>
          <w:szCs w:val="24"/>
        </w:rPr>
        <w:t xml:space="preserve"> deference would not be persuaded to adopt the agency’s own interpretation of its regulation for substantially the same reasons it is not entitled to </w:t>
      </w:r>
      <w:r>
        <w:rPr>
          <w:rFonts w:ascii="Times New Roman" w:hAnsi="Times New Roman" w:cs="Times New Roman"/>
          <w:i/>
          <w:iCs/>
          <w:sz w:val="24"/>
          <w:szCs w:val="24"/>
        </w:rPr>
        <w:t>Auer</w:t>
      </w:r>
      <w:r>
        <w:rPr>
          <w:rFonts w:ascii="Times New Roman" w:hAnsi="Times New Roman" w:cs="Times New Roman"/>
          <w:sz w:val="24"/>
          <w:szCs w:val="24"/>
        </w:rPr>
        <w:t xml:space="preserve"> deference: because it represents a stark departure, without notice, from long-used practice and thereby cannot be deemed consistent with earlier and later pronouncements.” </w:t>
      </w:r>
      <w:r>
        <w:rPr>
          <w:rFonts w:ascii="Times New Roman" w:hAnsi="Times New Roman" w:cs="Times New Roman"/>
          <w:i/>
          <w:iCs/>
          <w:sz w:val="24"/>
          <w:szCs w:val="24"/>
        </w:rPr>
        <w:t>Zuniga Romero v. Barr</w:t>
      </w:r>
      <w:r>
        <w:rPr>
          <w:rFonts w:ascii="Times New Roman" w:hAnsi="Times New Roman" w:cs="Times New Roman"/>
          <w:sz w:val="24"/>
          <w:szCs w:val="24"/>
        </w:rPr>
        <w:t xml:space="preserve"> at 23.</w:t>
      </w:r>
    </w:p>
    <w:p w14:paraId="56BD0C62" w14:textId="77777777" w:rsidR="003E0D4F" w:rsidRPr="00AA25A4" w:rsidRDefault="003E0D4F" w:rsidP="003E0D4F">
      <w:pPr>
        <w:pStyle w:val="ListParagraph"/>
        <w:spacing w:after="0"/>
        <w:ind w:left="1440"/>
        <w:rPr>
          <w:rFonts w:ascii="Times New Roman" w:hAnsi="Times New Roman" w:cs="Times New Roman"/>
          <w:sz w:val="24"/>
          <w:szCs w:val="24"/>
        </w:rPr>
      </w:pPr>
    </w:p>
    <w:p w14:paraId="2D90F600" w14:textId="77777777" w:rsidR="003E0D4F" w:rsidRPr="001E5127" w:rsidRDefault="003E0D4F" w:rsidP="003E0D4F">
      <w:pPr>
        <w:pStyle w:val="ListParagraph"/>
        <w:spacing w:after="0"/>
        <w:ind w:left="1440"/>
        <w:rPr>
          <w:rFonts w:ascii="Times New Roman" w:hAnsi="Times New Roman" w:cs="Times New Roman"/>
          <w:sz w:val="24"/>
          <w:szCs w:val="24"/>
        </w:rPr>
      </w:pPr>
    </w:p>
    <w:p w14:paraId="112EDA6A" w14:textId="49E17F42" w:rsidR="00AD6E21" w:rsidRDefault="00AD6E21">
      <w:pPr>
        <w:rPr>
          <w:rFonts w:ascii="Times New Roman" w:hAnsi="Times New Roman" w:cs="Times New Roman"/>
          <w:sz w:val="24"/>
          <w:szCs w:val="24"/>
        </w:rPr>
      </w:pPr>
      <w:r>
        <w:rPr>
          <w:rFonts w:ascii="Times New Roman" w:hAnsi="Times New Roman" w:cs="Times New Roman"/>
          <w:sz w:val="24"/>
          <w:szCs w:val="24"/>
        </w:rPr>
        <w:br w:type="page"/>
      </w:r>
    </w:p>
    <w:p w14:paraId="69DBDCA7" w14:textId="69496F22" w:rsidR="00FA0C1C" w:rsidRPr="00FA0C1C" w:rsidRDefault="00FA0C1C" w:rsidP="00FA0C1C">
      <w:pPr>
        <w:spacing w:after="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Related Cases &amp; Quotable Quotes</w:t>
      </w:r>
    </w:p>
    <w:p w14:paraId="2F500DCC" w14:textId="77777777" w:rsidR="00FA0C1C" w:rsidRDefault="00FA0C1C" w:rsidP="00AD6E21">
      <w:pPr>
        <w:spacing w:after="0" w:line="240" w:lineRule="auto"/>
        <w:rPr>
          <w:rFonts w:ascii="Times New Roman" w:hAnsi="Times New Roman" w:cs="Times New Roman"/>
          <w:b/>
          <w:bCs/>
          <w:i/>
          <w:iCs/>
          <w:sz w:val="24"/>
          <w:szCs w:val="24"/>
        </w:rPr>
      </w:pPr>
    </w:p>
    <w:p w14:paraId="3AD01B0C" w14:textId="4915F16E" w:rsidR="00AD6E21" w:rsidRDefault="00AD6E21" w:rsidP="00AD6E21">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Matter of Hashmi</w:t>
      </w:r>
      <w:r>
        <w:rPr>
          <w:rFonts w:ascii="Times New Roman" w:hAnsi="Times New Roman" w:cs="Times New Roman"/>
          <w:b/>
          <w:bCs/>
          <w:sz w:val="24"/>
          <w:szCs w:val="24"/>
        </w:rPr>
        <w:t>, 24 I&amp;N Dec. 785 (BIA 2009):</w:t>
      </w:r>
    </w:p>
    <w:p w14:paraId="5F93CD5E" w14:textId="0F15A4AB" w:rsidR="00AD6E21" w:rsidRDefault="00AD6E21" w:rsidP="00AD6E21">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case laid out the criteria for </w:t>
      </w:r>
      <w:r>
        <w:rPr>
          <w:rFonts w:ascii="Times New Roman" w:hAnsi="Times New Roman" w:cs="Times New Roman"/>
          <w:i/>
          <w:iCs/>
          <w:sz w:val="24"/>
          <w:szCs w:val="24"/>
        </w:rPr>
        <w:t>continuances</w:t>
      </w:r>
      <w:r>
        <w:rPr>
          <w:rFonts w:ascii="Times New Roman" w:hAnsi="Times New Roman" w:cs="Times New Roman"/>
          <w:sz w:val="24"/>
          <w:szCs w:val="24"/>
        </w:rPr>
        <w:t xml:space="preserve"> in immigration proceedings, but there’s one awesome footnote on administrative closure:</w:t>
      </w:r>
    </w:p>
    <w:p w14:paraId="4C5ADF9E" w14:textId="77777777" w:rsidR="00AD6E21" w:rsidRDefault="00AD6E21" w:rsidP="00AD6E21">
      <w:pPr>
        <w:pStyle w:val="ListParagraph"/>
        <w:spacing w:after="0" w:line="240" w:lineRule="auto"/>
        <w:rPr>
          <w:rFonts w:ascii="Times New Roman" w:hAnsi="Times New Roman" w:cs="Times New Roman"/>
          <w:sz w:val="24"/>
          <w:szCs w:val="24"/>
        </w:rPr>
      </w:pPr>
    </w:p>
    <w:p w14:paraId="123825FA" w14:textId="3573150A" w:rsidR="00AD6E21" w:rsidRDefault="00AD6E21" w:rsidP="00AD6E21">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“In appropriate circumstances, such as where there is a pending prima facie approvable visa petition, we urge the DHS to consider agreeing to administrative closure</w:t>
      </w:r>
      <w:proofErr w:type="gramStart"/>
      <w:r w:rsidR="00FA0C1C">
        <w:rPr>
          <w:rFonts w:ascii="Times New Roman" w:hAnsi="Times New Roman" w:cs="Times New Roman"/>
          <w:sz w:val="24"/>
          <w:szCs w:val="24"/>
        </w:rPr>
        <w:t>. . . .</w:t>
      </w:r>
      <w:proofErr w:type="gramEnd"/>
      <w:r w:rsidR="00FA0C1C">
        <w:rPr>
          <w:rFonts w:ascii="Times New Roman" w:hAnsi="Times New Roman" w:cs="Times New Roman"/>
          <w:sz w:val="24"/>
          <w:szCs w:val="24"/>
        </w:rPr>
        <w:t xml:space="preserve"> Administrative closure is an attractive option in these situations, as it will assist in ensuring that only those cases that are likely to be resolved are before the Immigration Judge. This will avoid the repeated rescheduling of a case that is clearly not ready to be concluded.”  </w:t>
      </w:r>
      <w:r w:rsidR="00FA0C1C" w:rsidRPr="00FA0C1C">
        <w:rPr>
          <w:rFonts w:ascii="Times New Roman" w:hAnsi="Times New Roman" w:cs="Times New Roman"/>
          <w:i/>
          <w:iCs/>
          <w:sz w:val="24"/>
          <w:szCs w:val="24"/>
        </w:rPr>
        <w:t>Matter of Hashmi</w:t>
      </w:r>
      <w:r w:rsidR="00FA0C1C" w:rsidRPr="00FA0C1C">
        <w:rPr>
          <w:rFonts w:ascii="Times New Roman" w:hAnsi="Times New Roman" w:cs="Times New Roman"/>
          <w:sz w:val="24"/>
          <w:szCs w:val="24"/>
        </w:rPr>
        <w:t>, 24 I&amp;N Dec. 785</w:t>
      </w:r>
      <w:r w:rsidR="00FA0C1C">
        <w:rPr>
          <w:rFonts w:ascii="Times New Roman" w:hAnsi="Times New Roman" w:cs="Times New Roman"/>
          <w:sz w:val="24"/>
          <w:szCs w:val="24"/>
        </w:rPr>
        <w:t>, 791 n4</w:t>
      </w:r>
      <w:r w:rsidR="00FA0C1C" w:rsidRPr="00FA0C1C">
        <w:rPr>
          <w:rFonts w:ascii="Times New Roman" w:hAnsi="Times New Roman" w:cs="Times New Roman"/>
          <w:sz w:val="24"/>
          <w:szCs w:val="24"/>
        </w:rPr>
        <w:t xml:space="preserve"> (BIA 2009)</w:t>
      </w:r>
    </w:p>
    <w:p w14:paraId="27961A95" w14:textId="77777777" w:rsidR="00FA0C1C" w:rsidRPr="00FA0C1C" w:rsidRDefault="00FA0C1C" w:rsidP="00FA0C1C">
      <w:pPr>
        <w:pStyle w:val="ListParagraph"/>
        <w:rPr>
          <w:rFonts w:ascii="Times New Roman" w:hAnsi="Times New Roman" w:cs="Times New Roman"/>
          <w:sz w:val="24"/>
          <w:szCs w:val="24"/>
        </w:rPr>
      </w:pPr>
    </w:p>
    <w:p w14:paraId="2256A49E" w14:textId="59B92C15" w:rsidR="00FA0C1C" w:rsidRPr="00FA0C1C" w:rsidRDefault="00FA0C1C" w:rsidP="00FA0C1C">
      <w:pPr>
        <w:spacing w:after="0" w:line="240" w:lineRule="auto"/>
        <w:rPr>
          <w:rFonts w:ascii="Times New Roman" w:hAnsi="Times New Roman" w:cs="Times New Roman"/>
          <w:sz w:val="24"/>
          <w:szCs w:val="24"/>
        </w:rPr>
      </w:pPr>
      <w:r w:rsidRPr="001E5127">
        <w:rPr>
          <w:rFonts w:ascii="Times New Roman" w:hAnsi="Times New Roman" w:cs="Times New Roman"/>
          <w:b/>
          <w:bCs/>
          <w:i/>
          <w:iCs/>
          <w:sz w:val="24"/>
          <w:szCs w:val="24"/>
        </w:rPr>
        <w:t>Matter of W-Y-U-</w:t>
      </w:r>
      <w:r w:rsidRPr="001E5127">
        <w:rPr>
          <w:rFonts w:ascii="Times New Roman" w:hAnsi="Times New Roman" w:cs="Times New Roman"/>
          <w:b/>
          <w:bCs/>
          <w:sz w:val="24"/>
          <w:szCs w:val="24"/>
        </w:rPr>
        <w:t>, 27 I&amp;N Dec. 17, 18 (BIA 2017)</w:t>
      </w:r>
      <w:r>
        <w:rPr>
          <w:rFonts w:ascii="Times New Roman" w:hAnsi="Times New Roman" w:cs="Times New Roman"/>
          <w:b/>
          <w:bCs/>
          <w:sz w:val="24"/>
          <w:szCs w:val="24"/>
        </w:rPr>
        <w:t>:</w:t>
      </w:r>
    </w:p>
    <w:p w14:paraId="1FB3F2E1" w14:textId="516D9818"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IJ administratively closed case, though respondent wanted it </w:t>
      </w:r>
      <w:proofErr w:type="spellStart"/>
      <w:r>
        <w:rPr>
          <w:rFonts w:ascii="Times New Roman" w:hAnsi="Times New Roman" w:cs="Times New Roman"/>
          <w:sz w:val="24"/>
          <w:szCs w:val="24"/>
        </w:rPr>
        <w:t>recalendared</w:t>
      </w:r>
      <w:proofErr w:type="spellEnd"/>
      <w:r>
        <w:rPr>
          <w:rFonts w:ascii="Times New Roman" w:hAnsi="Times New Roman" w:cs="Times New Roman"/>
          <w:sz w:val="24"/>
          <w:szCs w:val="24"/>
        </w:rPr>
        <w:t xml:space="preserve"> so he could pursue his asylum application.</w:t>
      </w:r>
    </w:p>
    <w:p w14:paraId="2A6AF4CB" w14:textId="32E9D730" w:rsidR="00FA0C1C" w:rsidRDefault="00FA0C1C" w:rsidP="00FA0C1C">
      <w:pPr>
        <w:pStyle w:val="ListParagraph"/>
        <w:spacing w:after="0" w:line="240" w:lineRule="auto"/>
        <w:rPr>
          <w:rFonts w:ascii="Times New Roman" w:hAnsi="Times New Roman" w:cs="Times New Roman"/>
          <w:sz w:val="24"/>
          <w:szCs w:val="24"/>
        </w:rPr>
      </w:pPr>
    </w:p>
    <w:p w14:paraId="2DB82DF7" w14:textId="557952D1"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“[Administrative closure] is a docket management tool that is used to temporarily pause removal proceedings.” </w:t>
      </w:r>
      <w:r w:rsidRPr="00FA0C1C">
        <w:rPr>
          <w:rFonts w:ascii="Times New Roman" w:hAnsi="Times New Roman" w:cs="Times New Roman"/>
          <w:i/>
          <w:iCs/>
          <w:sz w:val="24"/>
          <w:szCs w:val="24"/>
        </w:rPr>
        <w:t>Matter of W-Y-U-</w:t>
      </w:r>
      <w:r w:rsidRPr="00FA0C1C">
        <w:rPr>
          <w:rFonts w:ascii="Times New Roman" w:hAnsi="Times New Roman" w:cs="Times New Roman"/>
          <w:sz w:val="24"/>
          <w:szCs w:val="24"/>
        </w:rPr>
        <w:t>, 27 I&amp;N Dec. 17, 18 (BIA 2017)</w:t>
      </w:r>
      <w:r>
        <w:rPr>
          <w:rFonts w:ascii="Times New Roman" w:hAnsi="Times New Roman" w:cs="Times New Roman"/>
          <w:sz w:val="24"/>
          <w:szCs w:val="24"/>
        </w:rPr>
        <w:t>.</w:t>
      </w:r>
    </w:p>
    <w:p w14:paraId="328CA63F" w14:textId="77777777" w:rsidR="00FA0C1C" w:rsidRDefault="00FA0C1C" w:rsidP="00FA0C1C">
      <w:pPr>
        <w:pStyle w:val="ListParagraph"/>
        <w:spacing w:after="0" w:line="240" w:lineRule="auto"/>
        <w:rPr>
          <w:rFonts w:ascii="Times New Roman" w:hAnsi="Times New Roman" w:cs="Times New Roman"/>
          <w:sz w:val="24"/>
          <w:szCs w:val="24"/>
        </w:rPr>
      </w:pPr>
    </w:p>
    <w:p w14:paraId="33C68B82" w14:textId="2AD07D4C"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individualized evaluation prevents a party from keeping a case on an Immigration Court’s active docket absent a reasoned explanation or justification.” </w:t>
      </w:r>
      <w:r w:rsidRPr="00FA0C1C">
        <w:rPr>
          <w:rFonts w:ascii="Times New Roman" w:hAnsi="Times New Roman" w:cs="Times New Roman"/>
          <w:i/>
          <w:iCs/>
          <w:sz w:val="24"/>
          <w:szCs w:val="24"/>
        </w:rPr>
        <w:t>Matter of W-Y-U-</w:t>
      </w:r>
      <w:r w:rsidRPr="00FA0C1C">
        <w:rPr>
          <w:rFonts w:ascii="Times New Roman" w:hAnsi="Times New Roman" w:cs="Times New Roman"/>
          <w:sz w:val="24"/>
          <w:szCs w:val="24"/>
        </w:rPr>
        <w:t>, 27 I&amp;N Dec. 17, 18 (BIA 2017)</w:t>
      </w:r>
      <w:r>
        <w:rPr>
          <w:rFonts w:ascii="Times New Roman" w:hAnsi="Times New Roman" w:cs="Times New Roman"/>
          <w:sz w:val="24"/>
          <w:szCs w:val="24"/>
        </w:rPr>
        <w:t>.</w:t>
      </w:r>
    </w:p>
    <w:p w14:paraId="55F5DDFA" w14:textId="77777777" w:rsidR="00FA0C1C" w:rsidRPr="00FA0C1C" w:rsidRDefault="00FA0C1C" w:rsidP="00FA0C1C">
      <w:pPr>
        <w:pStyle w:val="ListParagraph"/>
        <w:rPr>
          <w:rFonts w:ascii="Times New Roman" w:hAnsi="Times New Roman" w:cs="Times New Roman"/>
          <w:sz w:val="24"/>
          <w:szCs w:val="24"/>
        </w:rPr>
      </w:pPr>
    </w:p>
    <w:p w14:paraId="1B639272" w14:textId="760FB40B"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this case, the Immigration Judge explained that he denied the respondent’s motion to </w:t>
      </w:r>
      <w:proofErr w:type="spellStart"/>
      <w:r>
        <w:rPr>
          <w:rFonts w:ascii="Times New Roman" w:hAnsi="Times New Roman" w:cs="Times New Roman"/>
          <w:sz w:val="24"/>
          <w:szCs w:val="24"/>
        </w:rPr>
        <w:t>recalendar</w:t>
      </w:r>
      <w:proofErr w:type="spellEnd"/>
      <w:r>
        <w:rPr>
          <w:rFonts w:ascii="Times New Roman" w:hAnsi="Times New Roman" w:cs="Times New Roman"/>
          <w:sz w:val="24"/>
          <w:szCs w:val="24"/>
        </w:rPr>
        <w:t xml:space="preserve"> and kept his case administratively closed to reserve the Immigration Court’s ‘limited adjudication resources to resolve actual cases in dispute.’” </w:t>
      </w:r>
      <w:r w:rsidRPr="00FA0C1C">
        <w:rPr>
          <w:rFonts w:ascii="Times New Roman" w:hAnsi="Times New Roman" w:cs="Times New Roman"/>
          <w:i/>
          <w:iCs/>
          <w:sz w:val="24"/>
          <w:szCs w:val="24"/>
        </w:rPr>
        <w:t>Matter of W-Y-U-</w:t>
      </w:r>
      <w:r w:rsidRPr="00FA0C1C">
        <w:rPr>
          <w:rFonts w:ascii="Times New Roman" w:hAnsi="Times New Roman" w:cs="Times New Roman"/>
          <w:sz w:val="24"/>
          <w:szCs w:val="24"/>
        </w:rPr>
        <w:t>, 27 I&amp;N Dec. 17, 18 (BIA 2017)</w:t>
      </w:r>
      <w:r>
        <w:rPr>
          <w:rFonts w:ascii="Times New Roman" w:hAnsi="Times New Roman" w:cs="Times New Roman"/>
          <w:sz w:val="24"/>
          <w:szCs w:val="24"/>
        </w:rPr>
        <w:t>.</w:t>
      </w:r>
    </w:p>
    <w:p w14:paraId="33262E22" w14:textId="77777777" w:rsidR="00FA0C1C" w:rsidRPr="00FA0C1C" w:rsidRDefault="00FA0C1C" w:rsidP="00FA0C1C">
      <w:pPr>
        <w:pStyle w:val="ListParagraph"/>
        <w:rPr>
          <w:rFonts w:ascii="Times New Roman" w:hAnsi="Times New Roman" w:cs="Times New Roman"/>
          <w:sz w:val="24"/>
          <w:szCs w:val="24"/>
        </w:rPr>
      </w:pPr>
    </w:p>
    <w:p w14:paraId="537B101E" w14:textId="1C8A21AC"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 while we recognize the Immigration Judge’s concerns regarding the most efficient use of limited resources, such matters are secondary to a party’s interest in having a case resolved on the merits.” </w:t>
      </w:r>
      <w:r w:rsidRPr="00FA0C1C">
        <w:rPr>
          <w:rFonts w:ascii="Times New Roman" w:hAnsi="Times New Roman" w:cs="Times New Roman"/>
          <w:i/>
          <w:iCs/>
          <w:sz w:val="24"/>
          <w:szCs w:val="24"/>
        </w:rPr>
        <w:t>Matter of W-Y-U-</w:t>
      </w:r>
      <w:r w:rsidRPr="00FA0C1C">
        <w:rPr>
          <w:rFonts w:ascii="Times New Roman" w:hAnsi="Times New Roman" w:cs="Times New Roman"/>
          <w:sz w:val="24"/>
          <w:szCs w:val="24"/>
        </w:rPr>
        <w:t>, 27 I&amp;N Dec. 17, 18</w:t>
      </w:r>
      <w:r>
        <w:rPr>
          <w:rFonts w:ascii="Times New Roman" w:hAnsi="Times New Roman" w:cs="Times New Roman"/>
          <w:sz w:val="24"/>
          <w:szCs w:val="24"/>
        </w:rPr>
        <w:t>-19</w:t>
      </w:r>
      <w:r w:rsidRPr="00FA0C1C">
        <w:rPr>
          <w:rFonts w:ascii="Times New Roman" w:hAnsi="Times New Roman" w:cs="Times New Roman"/>
          <w:sz w:val="24"/>
          <w:szCs w:val="24"/>
        </w:rPr>
        <w:t xml:space="preserve"> (BIA 2017)</w:t>
      </w:r>
      <w:r>
        <w:rPr>
          <w:rFonts w:ascii="Times New Roman" w:hAnsi="Times New Roman" w:cs="Times New Roman"/>
          <w:sz w:val="24"/>
          <w:szCs w:val="24"/>
        </w:rPr>
        <w:t>.</w:t>
      </w:r>
    </w:p>
    <w:p w14:paraId="30150B7D" w14:textId="77777777" w:rsidR="00FA0C1C" w:rsidRPr="00FA0C1C" w:rsidRDefault="00FA0C1C" w:rsidP="00FA0C1C">
      <w:pPr>
        <w:pStyle w:val="ListParagraph"/>
        <w:rPr>
          <w:rFonts w:ascii="Times New Roman" w:hAnsi="Times New Roman" w:cs="Times New Roman"/>
          <w:sz w:val="24"/>
          <w:szCs w:val="24"/>
        </w:rPr>
      </w:pPr>
    </w:p>
    <w:p w14:paraId="7A3A77DB" w14:textId="000706F8" w:rsidR="00FA0C1C" w:rsidRDefault="00FA0C1C" w:rsidP="00FA0C1C">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fact, </w:t>
      </w:r>
      <w:r>
        <w:rPr>
          <w:rFonts w:ascii="Times New Roman" w:hAnsi="Times New Roman" w:cs="Times New Roman"/>
          <w:i/>
          <w:iCs/>
          <w:sz w:val="24"/>
          <w:szCs w:val="24"/>
        </w:rPr>
        <w:t>Matter of Avetisyan</w:t>
      </w:r>
      <w:r>
        <w:rPr>
          <w:rFonts w:ascii="Times New Roman" w:hAnsi="Times New Roman" w:cs="Times New Roman"/>
          <w:sz w:val="24"/>
          <w:szCs w:val="24"/>
        </w:rPr>
        <w:t xml:space="preserve"> does not list court resources as a factor to consider in evaluating whether administrative closure is appropriate.” </w:t>
      </w:r>
      <w:r w:rsidRPr="00FA0C1C">
        <w:rPr>
          <w:rFonts w:ascii="Times New Roman" w:hAnsi="Times New Roman" w:cs="Times New Roman"/>
          <w:i/>
          <w:iCs/>
          <w:sz w:val="24"/>
          <w:szCs w:val="24"/>
        </w:rPr>
        <w:t>Matter of W-Y-U-</w:t>
      </w:r>
      <w:r w:rsidRPr="00FA0C1C">
        <w:rPr>
          <w:rFonts w:ascii="Times New Roman" w:hAnsi="Times New Roman" w:cs="Times New Roman"/>
          <w:sz w:val="24"/>
          <w:szCs w:val="24"/>
        </w:rPr>
        <w:t>, 27 I&amp;N Dec. 17, 1</w:t>
      </w:r>
      <w:r>
        <w:rPr>
          <w:rFonts w:ascii="Times New Roman" w:hAnsi="Times New Roman" w:cs="Times New Roman"/>
          <w:sz w:val="24"/>
          <w:szCs w:val="24"/>
        </w:rPr>
        <w:t>9</w:t>
      </w:r>
      <w:r w:rsidRPr="00FA0C1C">
        <w:rPr>
          <w:rFonts w:ascii="Times New Roman" w:hAnsi="Times New Roman" w:cs="Times New Roman"/>
          <w:sz w:val="24"/>
          <w:szCs w:val="24"/>
        </w:rPr>
        <w:t xml:space="preserve"> (BIA 2017)</w:t>
      </w:r>
      <w:r>
        <w:rPr>
          <w:rFonts w:ascii="Times New Roman" w:hAnsi="Times New Roman" w:cs="Times New Roman"/>
          <w:sz w:val="24"/>
          <w:szCs w:val="24"/>
        </w:rPr>
        <w:t>.</w:t>
      </w:r>
    </w:p>
    <w:p w14:paraId="366B2180" w14:textId="77777777" w:rsidR="00FA0C1C" w:rsidRPr="00FA0C1C" w:rsidRDefault="00FA0C1C" w:rsidP="00FA0C1C">
      <w:pPr>
        <w:pStyle w:val="ListParagraph"/>
        <w:rPr>
          <w:rFonts w:ascii="Times New Roman" w:hAnsi="Times New Roman" w:cs="Times New Roman"/>
          <w:sz w:val="24"/>
          <w:szCs w:val="24"/>
        </w:rPr>
      </w:pPr>
    </w:p>
    <w:p w14:paraId="24AA5AD3" w14:textId="62BA482D" w:rsidR="00FA0C1C" w:rsidRDefault="00FA0C1C" w:rsidP="00FA0C1C">
      <w:pPr>
        <w:pStyle w:val="ListParagraph"/>
        <w:numPr>
          <w:ilvl w:val="1"/>
          <w:numId w:val="5"/>
        </w:num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NOTE THE IRONY: </w:t>
      </w:r>
      <w:r>
        <w:rPr>
          <w:rFonts w:ascii="Times New Roman" w:hAnsi="Times New Roman" w:cs="Times New Roman"/>
          <w:sz w:val="24"/>
          <w:szCs w:val="24"/>
        </w:rPr>
        <w:t xml:space="preserve">both the IJ and the BIA see administrative closure here as “the most efficient use of limited resources”—exactly the opposite of the A.G.’s evaluation of it in </w:t>
      </w:r>
      <w:r>
        <w:rPr>
          <w:rFonts w:ascii="Times New Roman" w:hAnsi="Times New Roman" w:cs="Times New Roman"/>
          <w:i/>
          <w:iCs/>
          <w:sz w:val="24"/>
          <w:szCs w:val="24"/>
        </w:rPr>
        <w:t>Castro-Tum</w:t>
      </w:r>
      <w:r>
        <w:rPr>
          <w:rFonts w:ascii="Times New Roman" w:hAnsi="Times New Roman" w:cs="Times New Roman"/>
          <w:sz w:val="24"/>
          <w:szCs w:val="24"/>
        </w:rPr>
        <w:t>!</w:t>
      </w:r>
    </w:p>
    <w:p w14:paraId="1F6FE282" w14:textId="77777777" w:rsidR="00FA0C1C" w:rsidRDefault="00FA0C1C" w:rsidP="00FA0C1C">
      <w:pPr>
        <w:pStyle w:val="ListParagraph"/>
        <w:spacing w:after="0" w:line="240" w:lineRule="auto"/>
        <w:ind w:left="1440"/>
        <w:rPr>
          <w:rFonts w:ascii="Times New Roman" w:hAnsi="Times New Roman" w:cs="Times New Roman"/>
          <w:sz w:val="24"/>
          <w:szCs w:val="24"/>
        </w:rPr>
      </w:pPr>
    </w:p>
    <w:p w14:paraId="0EB5779C" w14:textId="77777777" w:rsidR="00FA0C1C" w:rsidRPr="00FA0C1C" w:rsidRDefault="00FA0C1C" w:rsidP="00FA0C1C">
      <w:pPr>
        <w:pStyle w:val="ListParagraph"/>
        <w:numPr>
          <w:ilvl w:val="0"/>
          <w:numId w:val="5"/>
        </w:numPr>
        <w:spacing w:after="0" w:line="240" w:lineRule="auto"/>
        <w:rPr>
          <w:rFonts w:ascii="Times New Roman" w:hAnsi="Times New Roman" w:cs="Times New Roman"/>
          <w:sz w:val="24"/>
          <w:szCs w:val="24"/>
        </w:rPr>
      </w:pPr>
    </w:p>
    <w:sectPr w:rsidR="00FA0C1C" w:rsidRPr="00FA0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egoe UI">
    <w:altName w:val="Calibr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170E"/>
    <w:multiLevelType w:val="hybridMultilevel"/>
    <w:tmpl w:val="B38C8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3A3255"/>
    <w:multiLevelType w:val="hybridMultilevel"/>
    <w:tmpl w:val="B52A9EA6"/>
    <w:lvl w:ilvl="0" w:tplc="3A9A8B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F7C63EF"/>
    <w:multiLevelType w:val="hybridMultilevel"/>
    <w:tmpl w:val="70864B2E"/>
    <w:lvl w:ilvl="0" w:tplc="074EA196">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26522A"/>
    <w:multiLevelType w:val="hybridMultilevel"/>
    <w:tmpl w:val="7E0E6622"/>
    <w:lvl w:ilvl="0" w:tplc="54F49E82">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237213"/>
    <w:multiLevelType w:val="hybridMultilevel"/>
    <w:tmpl w:val="2E0E1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157"/>
    <w:rsid w:val="000B55AF"/>
    <w:rsid w:val="000F63C9"/>
    <w:rsid w:val="002C47FC"/>
    <w:rsid w:val="003E0D4F"/>
    <w:rsid w:val="0062259D"/>
    <w:rsid w:val="006B3DEF"/>
    <w:rsid w:val="006E77A6"/>
    <w:rsid w:val="007B1E17"/>
    <w:rsid w:val="008454E0"/>
    <w:rsid w:val="0087669D"/>
    <w:rsid w:val="008B7127"/>
    <w:rsid w:val="00AD0157"/>
    <w:rsid w:val="00AD6E21"/>
    <w:rsid w:val="00E67ED4"/>
    <w:rsid w:val="00EB3EFF"/>
    <w:rsid w:val="00F329EA"/>
    <w:rsid w:val="00FA0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8D155E"/>
  <w15:chartTrackingRefBased/>
  <w15:docId w15:val="{4875ABD7-8E14-4466-929F-D03874DA6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D0157"/>
    <w:rPr>
      <w:b/>
      <w:bCs/>
    </w:rPr>
  </w:style>
  <w:style w:type="character" w:styleId="Hyperlink">
    <w:name w:val="Hyperlink"/>
    <w:basedOn w:val="DefaultParagraphFont"/>
    <w:uiPriority w:val="99"/>
    <w:semiHidden/>
    <w:unhideWhenUsed/>
    <w:rsid w:val="00AD0157"/>
    <w:rPr>
      <w:color w:val="0000FF"/>
      <w:u w:val="single"/>
    </w:rPr>
  </w:style>
  <w:style w:type="character" w:customStyle="1" w:styleId="8cfrcitation">
    <w:name w:val="8cfrcitation"/>
    <w:basedOn w:val="DefaultParagraphFont"/>
    <w:rsid w:val="00AD0157"/>
  </w:style>
  <w:style w:type="paragraph" w:styleId="ListParagraph">
    <w:name w:val="List Paragraph"/>
    <w:basedOn w:val="Normal"/>
    <w:uiPriority w:val="34"/>
    <w:qFormat/>
    <w:rsid w:val="002C47FC"/>
    <w:pPr>
      <w:ind w:left="720"/>
      <w:contextualSpacing/>
    </w:pPr>
  </w:style>
  <w:style w:type="paragraph" w:styleId="BalloonText">
    <w:name w:val="Balloon Text"/>
    <w:basedOn w:val="Normal"/>
    <w:link w:val="BalloonTextChar"/>
    <w:uiPriority w:val="99"/>
    <w:semiHidden/>
    <w:unhideWhenUsed/>
    <w:rsid w:val="000F63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3C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ilalink.aila.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ilalink.aila.org/" TargetMode="External"/><Relationship Id="rId5" Type="http://schemas.openxmlformats.org/officeDocument/2006/relationships/hyperlink" Target="https://ailalink.aila.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3586</Words>
  <Characters>20445</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Stacey</dc:creator>
  <cp:keywords/>
  <dc:description/>
  <cp:lastModifiedBy>Paige Britton</cp:lastModifiedBy>
  <cp:revision>2</cp:revision>
  <cp:lastPrinted>2019-11-07T20:47:00Z</cp:lastPrinted>
  <dcterms:created xsi:type="dcterms:W3CDTF">2019-11-18T20:35:00Z</dcterms:created>
  <dcterms:modified xsi:type="dcterms:W3CDTF">2019-11-18T20:35:00Z</dcterms:modified>
</cp:coreProperties>
</file>