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14B48D" w14:textId="3B6A2F77" w:rsidR="004D171B" w:rsidRDefault="004D171B" w:rsidP="004D171B">
      <w:pPr>
        <w:jc w:val="center"/>
        <w:rPr>
          <w:rFonts w:ascii="Times New Roman" w:hAnsi="Times New Roman" w:cs="Times New Roman"/>
          <w:b/>
          <w:bCs/>
          <w:sz w:val="24"/>
          <w:szCs w:val="24"/>
        </w:rPr>
      </w:pPr>
      <w:bookmarkStart w:id="0" w:name="_GoBack"/>
      <w:bookmarkEnd w:id="0"/>
      <w:r w:rsidRPr="003B6601">
        <w:rPr>
          <w:rFonts w:ascii="Times New Roman" w:hAnsi="Times New Roman" w:cs="Times New Roman"/>
          <w:b/>
          <w:bCs/>
          <w:sz w:val="24"/>
          <w:szCs w:val="24"/>
        </w:rPr>
        <w:t xml:space="preserve">CLINIC Advice for </w:t>
      </w:r>
      <w:r w:rsidRPr="003B6601">
        <w:rPr>
          <w:rFonts w:ascii="Times New Roman" w:hAnsi="Times New Roman" w:cs="Times New Roman"/>
          <w:b/>
          <w:bCs/>
          <w:i/>
          <w:iCs/>
          <w:sz w:val="24"/>
          <w:szCs w:val="24"/>
        </w:rPr>
        <w:t>L-E-A-</w:t>
      </w:r>
      <w:r w:rsidRPr="003B6601">
        <w:rPr>
          <w:rFonts w:ascii="Times New Roman" w:hAnsi="Times New Roman" w:cs="Times New Roman"/>
          <w:b/>
          <w:bCs/>
          <w:sz w:val="24"/>
          <w:szCs w:val="24"/>
        </w:rPr>
        <w:t xml:space="preserve"> Challenges</w:t>
      </w:r>
    </w:p>
    <w:p w14:paraId="73ABAC43" w14:textId="1E800455" w:rsidR="000F2E0C" w:rsidRPr="000F2E0C" w:rsidRDefault="000F2E0C" w:rsidP="000F2E0C">
      <w:pPr>
        <w:rPr>
          <w:rFonts w:ascii="Times New Roman" w:hAnsi="Times New Roman" w:cs="Times New Roman"/>
          <w:sz w:val="24"/>
          <w:szCs w:val="24"/>
        </w:rPr>
      </w:pPr>
      <w:r>
        <w:rPr>
          <w:rFonts w:ascii="Times New Roman" w:hAnsi="Times New Roman" w:cs="Times New Roman"/>
          <w:sz w:val="24"/>
          <w:szCs w:val="24"/>
        </w:rPr>
        <w:t xml:space="preserve">(This document is available for copying and pasting in network storage under “Misc.” </w:t>
      </w:r>
      <w:r w:rsidRPr="000F2E0C">
        <w:rPr>
          <w:rFonts w:ascii="Times New Roman" w:hAnsi="Times New Roman" w:cs="Times New Roman"/>
          <w:sz w:val="24"/>
          <w:szCs w:val="24"/>
        </w:rPr>
        <w:sym w:font="Wingdings" w:char="F0E0"/>
      </w:r>
      <w:r>
        <w:rPr>
          <w:rFonts w:ascii="Times New Roman" w:hAnsi="Times New Roman" w:cs="Times New Roman"/>
          <w:sz w:val="24"/>
          <w:szCs w:val="24"/>
        </w:rPr>
        <w:t xml:space="preserve"> “Seth” </w:t>
      </w:r>
      <w:r w:rsidRPr="000F2E0C">
        <w:rPr>
          <w:rFonts w:ascii="Times New Roman" w:hAnsi="Times New Roman" w:cs="Times New Roman"/>
          <w:sz w:val="24"/>
          <w:szCs w:val="24"/>
        </w:rPr>
        <w:sym w:font="Wingdings" w:char="F0E0"/>
      </w:r>
      <w:r>
        <w:rPr>
          <w:rFonts w:ascii="Times New Roman" w:hAnsi="Times New Roman" w:cs="Times New Roman"/>
          <w:sz w:val="24"/>
          <w:szCs w:val="24"/>
        </w:rPr>
        <w:t xml:space="preserve"> “LEA Readings”)</w:t>
      </w:r>
    </w:p>
    <w:p w14:paraId="0CA9D4C2" w14:textId="2926D739" w:rsidR="004D171B" w:rsidRPr="003B6601" w:rsidRDefault="004D171B" w:rsidP="004D171B">
      <w:pPr>
        <w:rPr>
          <w:rFonts w:ascii="Times New Roman" w:hAnsi="Times New Roman" w:cs="Times New Roman"/>
          <w:sz w:val="24"/>
          <w:szCs w:val="24"/>
        </w:rPr>
      </w:pPr>
      <w:r w:rsidRPr="003B6601">
        <w:rPr>
          <w:rFonts w:ascii="Times New Roman" w:hAnsi="Times New Roman" w:cs="Times New Roman"/>
          <w:b/>
          <w:bCs/>
          <w:sz w:val="24"/>
          <w:szCs w:val="24"/>
          <w:u w:val="single"/>
        </w:rPr>
        <w:t>BIA Appeal Level</w:t>
      </w:r>
    </w:p>
    <w:p w14:paraId="3F223130" w14:textId="292766D4" w:rsidR="004D171B" w:rsidRDefault="004D171B" w:rsidP="004D171B">
      <w:pPr>
        <w:pStyle w:val="ListParagraph"/>
        <w:numPr>
          <w:ilvl w:val="0"/>
          <w:numId w:val="1"/>
        </w:numPr>
        <w:rPr>
          <w:rFonts w:ascii="Times New Roman" w:hAnsi="Times New Roman" w:cs="Times New Roman"/>
          <w:sz w:val="24"/>
          <w:szCs w:val="24"/>
        </w:rPr>
      </w:pPr>
      <w:r w:rsidRPr="003B6601">
        <w:rPr>
          <w:rFonts w:ascii="Times New Roman" w:hAnsi="Times New Roman" w:cs="Times New Roman"/>
          <w:sz w:val="24"/>
          <w:szCs w:val="24"/>
        </w:rPr>
        <w:t>Since the BIA does not have the authority to review the AG’s decision, what</w:t>
      </w:r>
      <w:r w:rsidR="0094792C">
        <w:rPr>
          <w:rFonts w:ascii="Times New Roman" w:hAnsi="Times New Roman" w:cs="Times New Roman"/>
          <w:sz w:val="24"/>
          <w:szCs w:val="24"/>
        </w:rPr>
        <w:t>ever</w:t>
      </w:r>
      <w:r w:rsidRPr="003B6601">
        <w:rPr>
          <w:rFonts w:ascii="Times New Roman" w:hAnsi="Times New Roman" w:cs="Times New Roman"/>
          <w:sz w:val="24"/>
          <w:szCs w:val="24"/>
        </w:rPr>
        <w:t xml:space="preserve"> you say about </w:t>
      </w:r>
      <w:r w:rsidRPr="003B6601">
        <w:rPr>
          <w:rFonts w:ascii="Times New Roman" w:hAnsi="Times New Roman" w:cs="Times New Roman"/>
          <w:i/>
          <w:iCs/>
          <w:sz w:val="24"/>
          <w:szCs w:val="24"/>
        </w:rPr>
        <w:t>L-E-A-</w:t>
      </w:r>
      <w:r w:rsidRPr="003B6601">
        <w:rPr>
          <w:rFonts w:ascii="Times New Roman" w:hAnsi="Times New Roman" w:cs="Times New Roman"/>
          <w:sz w:val="24"/>
          <w:szCs w:val="24"/>
        </w:rPr>
        <w:t xml:space="preserve"> will matter most for preserving the issue on appeal</w:t>
      </w:r>
      <w:r w:rsidR="0094792C">
        <w:rPr>
          <w:rFonts w:ascii="Times New Roman" w:hAnsi="Times New Roman" w:cs="Times New Roman"/>
          <w:sz w:val="24"/>
          <w:szCs w:val="24"/>
        </w:rPr>
        <w:t xml:space="preserve"> to the circuit level</w:t>
      </w:r>
      <w:r w:rsidRPr="003B6601">
        <w:rPr>
          <w:rFonts w:ascii="Times New Roman" w:hAnsi="Times New Roman" w:cs="Times New Roman"/>
          <w:sz w:val="24"/>
          <w:szCs w:val="24"/>
        </w:rPr>
        <w:t xml:space="preserve">. </w:t>
      </w:r>
      <w:r w:rsidR="00D55357">
        <w:rPr>
          <w:rFonts w:ascii="Times New Roman" w:hAnsi="Times New Roman" w:cs="Times New Roman"/>
          <w:sz w:val="24"/>
          <w:szCs w:val="24"/>
        </w:rPr>
        <w:t>CLINIC’s advice is that</w:t>
      </w:r>
      <w:r w:rsidR="0094792C">
        <w:rPr>
          <w:rFonts w:ascii="Times New Roman" w:hAnsi="Times New Roman" w:cs="Times New Roman"/>
          <w:sz w:val="24"/>
          <w:szCs w:val="24"/>
        </w:rPr>
        <w:t xml:space="preserve"> in  BIA appeals,</w:t>
      </w:r>
      <w:r w:rsidR="00D55357">
        <w:rPr>
          <w:rFonts w:ascii="Times New Roman" w:hAnsi="Times New Roman" w:cs="Times New Roman"/>
          <w:sz w:val="24"/>
          <w:szCs w:val="24"/>
        </w:rPr>
        <w:t xml:space="preserve"> “practitioners should consider </w:t>
      </w:r>
      <w:r w:rsidR="00D55357" w:rsidRPr="00D55357">
        <w:rPr>
          <w:rFonts w:ascii="Times New Roman" w:hAnsi="Times New Roman" w:cs="Times New Roman"/>
          <w:b/>
          <w:bCs/>
          <w:sz w:val="24"/>
          <w:szCs w:val="24"/>
        </w:rPr>
        <w:t xml:space="preserve">limiting arguments that </w:t>
      </w:r>
      <w:r w:rsidR="00D55357" w:rsidRPr="00D55357">
        <w:rPr>
          <w:rFonts w:ascii="Times New Roman" w:hAnsi="Times New Roman" w:cs="Times New Roman"/>
          <w:b/>
          <w:bCs/>
          <w:i/>
          <w:iCs/>
          <w:sz w:val="24"/>
          <w:szCs w:val="24"/>
        </w:rPr>
        <w:t>L-E-A-</w:t>
      </w:r>
      <w:r w:rsidR="00D55357" w:rsidRPr="00D55357">
        <w:rPr>
          <w:rFonts w:ascii="Times New Roman" w:hAnsi="Times New Roman" w:cs="Times New Roman"/>
          <w:b/>
          <w:bCs/>
          <w:sz w:val="24"/>
          <w:szCs w:val="24"/>
        </w:rPr>
        <w:t xml:space="preserve"> was wrongly decided to a single sentence in a brief or even a footnote, to preserve them for appeal</w:t>
      </w:r>
      <w:r w:rsidR="00D55357">
        <w:rPr>
          <w:rFonts w:ascii="Times New Roman" w:hAnsi="Times New Roman" w:cs="Times New Roman"/>
          <w:sz w:val="24"/>
          <w:szCs w:val="24"/>
        </w:rPr>
        <w:t>.”</w:t>
      </w:r>
    </w:p>
    <w:p w14:paraId="46304598" w14:textId="77777777" w:rsidR="00D55357" w:rsidRDefault="00D55357" w:rsidP="00D55357">
      <w:pPr>
        <w:pStyle w:val="ListParagraph"/>
        <w:rPr>
          <w:rFonts w:ascii="Times New Roman" w:hAnsi="Times New Roman" w:cs="Times New Roman"/>
          <w:sz w:val="24"/>
          <w:szCs w:val="24"/>
        </w:rPr>
      </w:pPr>
    </w:p>
    <w:p w14:paraId="0F25164D" w14:textId="037B02B6" w:rsidR="00D55357" w:rsidRDefault="00D55357" w:rsidP="00D5535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However, if we have a clear 3d circuit opinion that concludes that a family is a PSG, then practitioners can argue that the </w:t>
      </w:r>
      <w:r w:rsidRPr="00D55357">
        <w:rPr>
          <w:rFonts w:ascii="Times New Roman" w:hAnsi="Times New Roman" w:cs="Times New Roman"/>
          <w:b/>
          <w:bCs/>
          <w:sz w:val="24"/>
          <w:szCs w:val="24"/>
        </w:rPr>
        <w:t>circuit law is controlling despite AG’s decision</w:t>
      </w:r>
      <w:r>
        <w:rPr>
          <w:rFonts w:ascii="Times New Roman" w:hAnsi="Times New Roman" w:cs="Times New Roman"/>
          <w:sz w:val="24"/>
          <w:szCs w:val="24"/>
        </w:rPr>
        <w:t xml:space="preserve">. (Ours is </w:t>
      </w:r>
      <w:r>
        <w:rPr>
          <w:rFonts w:ascii="Times New Roman" w:hAnsi="Times New Roman" w:cs="Times New Roman"/>
          <w:i/>
          <w:iCs/>
          <w:sz w:val="24"/>
          <w:szCs w:val="24"/>
        </w:rPr>
        <w:t xml:space="preserve">S.E.R.L. v. </w:t>
      </w:r>
      <w:proofErr w:type="spellStart"/>
      <w:r>
        <w:rPr>
          <w:rFonts w:ascii="Times New Roman" w:hAnsi="Times New Roman" w:cs="Times New Roman"/>
          <w:i/>
          <w:iCs/>
          <w:sz w:val="24"/>
          <w:szCs w:val="24"/>
        </w:rPr>
        <w:t>Att’y</w:t>
      </w:r>
      <w:proofErr w:type="spellEnd"/>
      <w:r>
        <w:rPr>
          <w:rFonts w:ascii="Times New Roman" w:hAnsi="Times New Roman" w:cs="Times New Roman"/>
          <w:i/>
          <w:iCs/>
          <w:sz w:val="24"/>
          <w:szCs w:val="24"/>
        </w:rPr>
        <w:t xml:space="preserve"> Gen. U.S.</w:t>
      </w:r>
      <w:r>
        <w:rPr>
          <w:rFonts w:ascii="Times New Roman" w:hAnsi="Times New Roman" w:cs="Times New Roman"/>
          <w:sz w:val="24"/>
          <w:szCs w:val="24"/>
        </w:rPr>
        <w:t>, 894 F.3d 535, 556 (3d  Cir. 2018) (“Kinship, marital status, and domestic relationships can each be a defining characteristic of a particular social group, but that does not mean that adding two or more of these characteristics together necessarily establishes a cognizable particular social group.”)</w:t>
      </w:r>
    </w:p>
    <w:p w14:paraId="2123C341" w14:textId="2FE545A6" w:rsidR="00D55357" w:rsidRPr="00D55357" w:rsidRDefault="00D55357" w:rsidP="00D55357">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[CLINIC footnote: “Although this decision is very negative for domestic violence-based claims, it does have good language on kinship.”</w:t>
      </w:r>
      <w:r w:rsidR="0094792C">
        <w:rPr>
          <w:rFonts w:ascii="Times New Roman" w:hAnsi="Times New Roman" w:cs="Times New Roman"/>
          <w:sz w:val="24"/>
          <w:szCs w:val="24"/>
        </w:rPr>
        <w:t>]</w:t>
      </w:r>
    </w:p>
    <w:p w14:paraId="790C8C56" w14:textId="77777777" w:rsidR="00D55357" w:rsidRPr="003B6601" w:rsidRDefault="00D55357" w:rsidP="00D55357">
      <w:pPr>
        <w:pStyle w:val="ListParagraph"/>
        <w:rPr>
          <w:rFonts w:ascii="Times New Roman" w:hAnsi="Times New Roman" w:cs="Times New Roman"/>
          <w:sz w:val="24"/>
          <w:szCs w:val="24"/>
        </w:rPr>
      </w:pPr>
    </w:p>
    <w:p w14:paraId="5A63F1F1" w14:textId="2ADB3760" w:rsidR="00D55357" w:rsidRDefault="0094792C" w:rsidP="004D171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More viable</w:t>
      </w:r>
      <w:r w:rsidR="00D55357">
        <w:rPr>
          <w:rFonts w:ascii="Times New Roman" w:hAnsi="Times New Roman" w:cs="Times New Roman"/>
          <w:sz w:val="24"/>
          <w:szCs w:val="24"/>
        </w:rPr>
        <w:t xml:space="preserve"> argument to pursue here: </w:t>
      </w:r>
      <w:r w:rsidR="00D55357" w:rsidRPr="00D55357">
        <w:rPr>
          <w:rFonts w:ascii="Times New Roman" w:hAnsi="Times New Roman" w:cs="Times New Roman"/>
          <w:b/>
          <w:bCs/>
          <w:sz w:val="24"/>
          <w:szCs w:val="24"/>
        </w:rPr>
        <w:t>“</w:t>
      </w:r>
      <w:r w:rsidR="00D55357" w:rsidRPr="00D55357">
        <w:rPr>
          <w:rFonts w:ascii="Times New Roman" w:hAnsi="Times New Roman" w:cs="Times New Roman"/>
          <w:b/>
          <w:bCs/>
          <w:i/>
          <w:iCs/>
          <w:sz w:val="24"/>
          <w:szCs w:val="24"/>
        </w:rPr>
        <w:t xml:space="preserve">L-E-A- </w:t>
      </w:r>
      <w:r w:rsidR="00D55357" w:rsidRPr="00D55357">
        <w:rPr>
          <w:rFonts w:ascii="Times New Roman" w:hAnsi="Times New Roman" w:cs="Times New Roman"/>
          <w:b/>
          <w:bCs/>
          <w:sz w:val="24"/>
          <w:szCs w:val="24"/>
        </w:rPr>
        <w:t>stands for the limited proposition that an asylum applicant must provide case-specific evidence of social distinction.”</w:t>
      </w:r>
    </w:p>
    <w:p w14:paraId="284BEEA3" w14:textId="06B1857B" w:rsidR="004D171B" w:rsidRDefault="00D55357" w:rsidP="0094792C">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This is because t</w:t>
      </w:r>
      <w:r w:rsidR="003B6601" w:rsidRPr="003B6601">
        <w:rPr>
          <w:rFonts w:ascii="Times New Roman" w:hAnsi="Times New Roman" w:cs="Times New Roman"/>
          <w:sz w:val="24"/>
          <w:szCs w:val="24"/>
        </w:rPr>
        <w:t xml:space="preserve">he AG </w:t>
      </w:r>
      <w:r>
        <w:rPr>
          <w:rFonts w:ascii="Times New Roman" w:hAnsi="Times New Roman" w:cs="Times New Roman"/>
          <w:sz w:val="24"/>
          <w:szCs w:val="24"/>
        </w:rPr>
        <w:t>repeatedly states in this decision that</w:t>
      </w:r>
      <w:r w:rsidR="003B6601" w:rsidRPr="003B6601">
        <w:rPr>
          <w:rFonts w:ascii="Times New Roman" w:hAnsi="Times New Roman" w:cs="Times New Roman"/>
          <w:sz w:val="24"/>
          <w:szCs w:val="24"/>
        </w:rPr>
        <w:t xml:space="preserve"> each case should be reviewed individually, following the three-prong PSG analysis set forth in </w:t>
      </w:r>
      <w:r w:rsidR="003B6601" w:rsidRPr="003B6601">
        <w:rPr>
          <w:rFonts w:ascii="Times New Roman" w:hAnsi="Times New Roman" w:cs="Times New Roman"/>
          <w:i/>
          <w:iCs/>
          <w:sz w:val="24"/>
          <w:szCs w:val="24"/>
        </w:rPr>
        <w:t>Matter of M-E-V-G-</w:t>
      </w:r>
      <w:r w:rsidR="003B6601">
        <w:rPr>
          <w:rFonts w:ascii="Times New Roman" w:hAnsi="Times New Roman" w:cs="Times New Roman"/>
          <w:sz w:val="24"/>
          <w:szCs w:val="24"/>
        </w:rPr>
        <w:t>, 26 I&amp;N Dec. 227 (BIA 2014):</w:t>
      </w:r>
    </w:p>
    <w:p w14:paraId="36E6B629" w14:textId="77777777" w:rsidR="003B6601" w:rsidRDefault="003B6601" w:rsidP="003B6601">
      <w:pPr>
        <w:pStyle w:val="ListParagraph"/>
        <w:numPr>
          <w:ilvl w:val="0"/>
          <w:numId w:val="1"/>
        </w:numPr>
        <w:rPr>
          <w:rFonts w:ascii="Times New Roman" w:hAnsi="Times New Roman" w:cs="Times New Roman"/>
          <w:sz w:val="24"/>
          <w:szCs w:val="24"/>
        </w:rPr>
      </w:pPr>
      <w:r w:rsidRPr="003B6601">
        <w:rPr>
          <w:rFonts w:ascii="Times New Roman" w:hAnsi="Times New Roman" w:cs="Times New Roman"/>
          <w:b/>
          <w:bCs/>
          <w:sz w:val="24"/>
          <w:szCs w:val="24"/>
        </w:rPr>
        <w:t>Immutability:</w:t>
      </w:r>
      <w:r>
        <w:rPr>
          <w:rFonts w:ascii="Times New Roman" w:hAnsi="Times New Roman" w:cs="Times New Roman"/>
          <w:sz w:val="24"/>
          <w:szCs w:val="24"/>
        </w:rPr>
        <w:t xml:space="preserve"> </w:t>
      </w:r>
    </w:p>
    <w:p w14:paraId="5F1575D4" w14:textId="01DF3AFC" w:rsidR="003B6601" w:rsidRDefault="003B6601" w:rsidP="003B6601">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The AG concedes that “many family relationships will be immutable” (27 &amp;N Dec. at 593) (</w:t>
      </w:r>
      <w:r w:rsidRPr="003B6601">
        <w:rPr>
          <w:rFonts w:ascii="Times New Roman" w:hAnsi="Times New Roman" w:cs="Times New Roman"/>
          <w:sz w:val="24"/>
          <w:szCs w:val="24"/>
        </w:rPr>
        <w:sym w:font="Wingdings" w:char="F0DF"/>
      </w:r>
      <w:r>
        <w:rPr>
          <w:rFonts w:ascii="Times New Roman" w:hAnsi="Times New Roman" w:cs="Times New Roman"/>
          <w:sz w:val="24"/>
          <w:szCs w:val="24"/>
        </w:rPr>
        <w:t xml:space="preserve"> so cite to this)</w:t>
      </w:r>
    </w:p>
    <w:p w14:paraId="4F6DB36E" w14:textId="77777777" w:rsidR="003B6601" w:rsidRDefault="003B6601" w:rsidP="003B6601">
      <w:pPr>
        <w:pStyle w:val="ListParagraph"/>
        <w:ind w:left="2160"/>
        <w:rPr>
          <w:rFonts w:ascii="Times New Roman" w:hAnsi="Times New Roman" w:cs="Times New Roman"/>
          <w:sz w:val="24"/>
          <w:szCs w:val="24"/>
        </w:rPr>
      </w:pPr>
    </w:p>
    <w:p w14:paraId="2B1C04AD" w14:textId="4DBF85DA" w:rsidR="003B6601" w:rsidRPr="003B6601" w:rsidRDefault="003B6601" w:rsidP="003B6601">
      <w:pPr>
        <w:pStyle w:val="ListParagraph"/>
        <w:numPr>
          <w:ilvl w:val="0"/>
          <w:numId w:val="1"/>
        </w:numPr>
        <w:rPr>
          <w:rFonts w:ascii="Times New Roman" w:hAnsi="Times New Roman" w:cs="Times New Roman"/>
          <w:b/>
          <w:bCs/>
          <w:sz w:val="24"/>
          <w:szCs w:val="24"/>
        </w:rPr>
      </w:pPr>
      <w:r w:rsidRPr="003B6601">
        <w:rPr>
          <w:rFonts w:ascii="Times New Roman" w:hAnsi="Times New Roman" w:cs="Times New Roman"/>
          <w:b/>
          <w:bCs/>
          <w:sz w:val="24"/>
          <w:szCs w:val="24"/>
        </w:rPr>
        <w:t>Particularity</w:t>
      </w:r>
      <w:r>
        <w:rPr>
          <w:rFonts w:ascii="Times New Roman" w:hAnsi="Times New Roman" w:cs="Times New Roman"/>
          <w:b/>
          <w:bCs/>
          <w:sz w:val="24"/>
          <w:szCs w:val="24"/>
        </w:rPr>
        <w:t>:</w:t>
      </w:r>
      <w:r>
        <w:rPr>
          <w:rFonts w:ascii="Times New Roman" w:hAnsi="Times New Roman" w:cs="Times New Roman"/>
          <w:sz w:val="24"/>
          <w:szCs w:val="24"/>
        </w:rPr>
        <w:t xml:space="preserve"> </w:t>
      </w:r>
    </w:p>
    <w:p w14:paraId="477ED91B" w14:textId="3F8D3D35" w:rsidR="003B6601" w:rsidRPr="000F2E0C" w:rsidRDefault="003B6601" w:rsidP="003B6601">
      <w:pPr>
        <w:pStyle w:val="ListParagraph"/>
        <w:numPr>
          <w:ilvl w:val="1"/>
          <w:numId w:val="1"/>
        </w:numPr>
        <w:rPr>
          <w:rFonts w:ascii="Times New Roman" w:hAnsi="Times New Roman" w:cs="Times New Roman"/>
          <w:b/>
          <w:bCs/>
          <w:sz w:val="24"/>
          <w:szCs w:val="24"/>
        </w:rPr>
      </w:pPr>
      <w:r>
        <w:rPr>
          <w:rFonts w:ascii="Times New Roman" w:hAnsi="Times New Roman" w:cs="Times New Roman"/>
          <w:sz w:val="24"/>
          <w:szCs w:val="24"/>
        </w:rPr>
        <w:t>Group’s boundaries: craft the PSG carefully to define the boundaries of the family. May be helpful to look at family law of asylum seeker’s country for its definition of family.</w:t>
      </w:r>
    </w:p>
    <w:p w14:paraId="2871DE5E" w14:textId="77777777" w:rsidR="000F2E0C" w:rsidRPr="003B6601" w:rsidRDefault="000F2E0C" w:rsidP="000F2E0C">
      <w:pPr>
        <w:pStyle w:val="ListParagraph"/>
        <w:ind w:left="1440"/>
        <w:rPr>
          <w:rFonts w:ascii="Times New Roman" w:hAnsi="Times New Roman" w:cs="Times New Roman"/>
          <w:b/>
          <w:bCs/>
          <w:sz w:val="24"/>
          <w:szCs w:val="24"/>
        </w:rPr>
      </w:pPr>
    </w:p>
    <w:p w14:paraId="1B164580" w14:textId="407845B8" w:rsidR="003B6601" w:rsidRPr="003B6601" w:rsidRDefault="003B6601" w:rsidP="003B6601">
      <w:pPr>
        <w:pStyle w:val="ListParagraph"/>
        <w:numPr>
          <w:ilvl w:val="1"/>
          <w:numId w:val="1"/>
        </w:numPr>
        <w:rPr>
          <w:rFonts w:ascii="Times New Roman" w:hAnsi="Times New Roman" w:cs="Times New Roman"/>
          <w:b/>
          <w:bCs/>
          <w:sz w:val="24"/>
          <w:szCs w:val="24"/>
        </w:rPr>
      </w:pPr>
      <w:r>
        <w:rPr>
          <w:rFonts w:ascii="Times New Roman" w:hAnsi="Times New Roman" w:cs="Times New Roman"/>
          <w:sz w:val="24"/>
          <w:szCs w:val="24"/>
        </w:rPr>
        <w:t xml:space="preserve">Quote from CLINIC (quoting </w:t>
      </w:r>
      <w:r>
        <w:rPr>
          <w:rFonts w:ascii="Times New Roman" w:hAnsi="Times New Roman" w:cs="Times New Roman"/>
          <w:i/>
          <w:iCs/>
          <w:sz w:val="24"/>
          <w:szCs w:val="24"/>
        </w:rPr>
        <w:t>M-E-V-G-</w:t>
      </w:r>
      <w:r>
        <w:rPr>
          <w:rFonts w:ascii="Times New Roman" w:hAnsi="Times New Roman" w:cs="Times New Roman"/>
          <w:sz w:val="24"/>
          <w:szCs w:val="24"/>
        </w:rPr>
        <w:t>):</w:t>
      </w:r>
    </w:p>
    <w:p w14:paraId="0589A722" w14:textId="7F4E9190" w:rsidR="003B6601" w:rsidRDefault="003B6601" w:rsidP="003B6601">
      <w:pPr>
        <w:pStyle w:val="ListParagraph"/>
        <w:ind w:left="2160"/>
        <w:rPr>
          <w:rFonts w:ascii="Times New Roman" w:hAnsi="Times New Roman" w:cs="Times New Roman"/>
          <w:sz w:val="24"/>
          <w:szCs w:val="24"/>
        </w:rPr>
      </w:pPr>
      <w:r>
        <w:rPr>
          <w:rFonts w:ascii="Times New Roman" w:hAnsi="Times New Roman" w:cs="Times New Roman"/>
          <w:sz w:val="24"/>
          <w:szCs w:val="24"/>
        </w:rPr>
        <w:t xml:space="preserve">Under </w:t>
      </w:r>
      <w:r>
        <w:rPr>
          <w:rFonts w:ascii="Times New Roman" w:hAnsi="Times New Roman" w:cs="Times New Roman"/>
          <w:i/>
          <w:iCs/>
          <w:sz w:val="24"/>
          <w:szCs w:val="24"/>
        </w:rPr>
        <w:t>M-E-V-G-</w:t>
      </w:r>
      <w:r>
        <w:rPr>
          <w:rFonts w:ascii="Times New Roman" w:hAnsi="Times New Roman" w:cs="Times New Roman"/>
          <w:sz w:val="24"/>
          <w:szCs w:val="24"/>
        </w:rPr>
        <w:t xml:space="preserve"> the “</w:t>
      </w:r>
      <w:r w:rsidR="0094792C">
        <w:rPr>
          <w:rFonts w:ascii="Times New Roman" w:hAnsi="Times New Roman" w:cs="Times New Roman"/>
          <w:sz w:val="24"/>
          <w:szCs w:val="24"/>
        </w:rPr>
        <w:t>‘</w:t>
      </w:r>
      <w:r>
        <w:rPr>
          <w:rFonts w:ascii="Times New Roman" w:hAnsi="Times New Roman" w:cs="Times New Roman"/>
          <w:sz w:val="24"/>
          <w:szCs w:val="24"/>
        </w:rPr>
        <w:t>particularity’ requirement relates to the group’s boundaries or, as earlier court decisions described it, the need to put ‘outer limits’ on the definition of a ‘particular social group.’” (26 I&amp;N Dec. at 238)</w:t>
      </w:r>
    </w:p>
    <w:p w14:paraId="730E81B8" w14:textId="1FD38173" w:rsidR="003B6601" w:rsidRDefault="003B6601" w:rsidP="003B6601">
      <w:pPr>
        <w:pStyle w:val="ListParagraph"/>
        <w:ind w:left="2160"/>
        <w:rPr>
          <w:rFonts w:ascii="Times New Roman" w:hAnsi="Times New Roman" w:cs="Times New Roman"/>
          <w:b/>
          <w:bCs/>
          <w:sz w:val="24"/>
          <w:szCs w:val="24"/>
        </w:rPr>
      </w:pPr>
    </w:p>
    <w:p w14:paraId="1019D5D9" w14:textId="4A2D9ABB" w:rsidR="000F2E0C" w:rsidRDefault="000F2E0C" w:rsidP="003B6601">
      <w:pPr>
        <w:pStyle w:val="ListParagraph"/>
        <w:ind w:left="2160"/>
        <w:rPr>
          <w:rFonts w:ascii="Times New Roman" w:hAnsi="Times New Roman" w:cs="Times New Roman"/>
          <w:b/>
          <w:bCs/>
          <w:sz w:val="24"/>
          <w:szCs w:val="24"/>
        </w:rPr>
      </w:pPr>
    </w:p>
    <w:p w14:paraId="379DE5FF" w14:textId="77777777" w:rsidR="000F2E0C" w:rsidRPr="000F2E0C" w:rsidRDefault="000F2E0C" w:rsidP="000F2E0C">
      <w:pPr>
        <w:rPr>
          <w:rFonts w:ascii="Times New Roman" w:hAnsi="Times New Roman" w:cs="Times New Roman"/>
          <w:b/>
          <w:bCs/>
          <w:sz w:val="24"/>
          <w:szCs w:val="24"/>
        </w:rPr>
      </w:pPr>
    </w:p>
    <w:p w14:paraId="74260C39" w14:textId="776DFACB" w:rsidR="003B6601" w:rsidRDefault="003B6601" w:rsidP="003B6601">
      <w:pPr>
        <w:pStyle w:val="ListParagraph"/>
        <w:numPr>
          <w:ilvl w:val="0"/>
          <w:numId w:val="1"/>
        </w:numPr>
        <w:rPr>
          <w:rFonts w:ascii="Times New Roman" w:hAnsi="Times New Roman" w:cs="Times New Roman"/>
          <w:sz w:val="24"/>
          <w:szCs w:val="24"/>
        </w:rPr>
      </w:pPr>
      <w:r w:rsidRPr="003B6601">
        <w:rPr>
          <w:rFonts w:ascii="Times New Roman" w:hAnsi="Times New Roman" w:cs="Times New Roman"/>
          <w:b/>
          <w:bCs/>
          <w:sz w:val="24"/>
          <w:szCs w:val="24"/>
        </w:rPr>
        <w:lastRenderedPageBreak/>
        <w:t>Socially Distinct</w:t>
      </w:r>
      <w:r>
        <w:rPr>
          <w:rFonts w:ascii="Times New Roman" w:hAnsi="Times New Roman" w:cs="Times New Roman"/>
          <w:sz w:val="24"/>
          <w:szCs w:val="24"/>
        </w:rPr>
        <w:t xml:space="preserve"> (here’s where you challenge AG’s take)</w:t>
      </w:r>
    </w:p>
    <w:p w14:paraId="66B09D06" w14:textId="0E9364A9" w:rsidR="003B6601" w:rsidRDefault="003B6601" w:rsidP="003B6601">
      <w:pPr>
        <w:pStyle w:val="ListParagraph"/>
        <w:numPr>
          <w:ilvl w:val="1"/>
          <w:numId w:val="1"/>
        </w:numPr>
        <w:rPr>
          <w:rFonts w:ascii="Times New Roman" w:hAnsi="Times New Roman" w:cs="Times New Roman"/>
          <w:sz w:val="24"/>
          <w:szCs w:val="24"/>
        </w:rPr>
      </w:pPr>
      <w:r w:rsidRPr="003B6601">
        <w:rPr>
          <w:rFonts w:ascii="Times New Roman" w:hAnsi="Times New Roman" w:cs="Times New Roman"/>
          <w:sz w:val="24"/>
          <w:szCs w:val="24"/>
        </w:rPr>
        <w:t>Emphasize that AG’s statements about what it means for a family group to be “distinct” are just dicta (e.g., “greater societal import,” “recognizable by society at large”) and cannot be the basis for denying claims.</w:t>
      </w:r>
    </w:p>
    <w:p w14:paraId="478961C3" w14:textId="77777777" w:rsidR="003B6601" w:rsidRPr="003B6601" w:rsidRDefault="003B6601" w:rsidP="003B6601">
      <w:pPr>
        <w:pStyle w:val="ListParagraph"/>
        <w:ind w:left="1440"/>
        <w:rPr>
          <w:rFonts w:ascii="Times New Roman" w:hAnsi="Times New Roman" w:cs="Times New Roman"/>
          <w:sz w:val="24"/>
          <w:szCs w:val="24"/>
        </w:rPr>
      </w:pPr>
    </w:p>
    <w:p w14:paraId="2084D1A3" w14:textId="7C7862C8" w:rsidR="003B6601" w:rsidRDefault="003B6601" w:rsidP="003B6601">
      <w:pPr>
        <w:pStyle w:val="ListParagraph"/>
        <w:numPr>
          <w:ilvl w:val="1"/>
          <w:numId w:val="1"/>
        </w:numPr>
        <w:rPr>
          <w:rFonts w:ascii="Times New Roman" w:hAnsi="Times New Roman" w:cs="Times New Roman"/>
          <w:sz w:val="24"/>
          <w:szCs w:val="24"/>
        </w:rPr>
      </w:pPr>
      <w:r w:rsidRPr="003B6601">
        <w:rPr>
          <w:rFonts w:ascii="Times New Roman" w:hAnsi="Times New Roman" w:cs="Times New Roman"/>
          <w:sz w:val="24"/>
          <w:szCs w:val="24"/>
        </w:rPr>
        <w:t xml:space="preserve">The AG seems to imply that “distinction” for a family group means </w:t>
      </w:r>
      <w:r w:rsidRPr="003B6601">
        <w:rPr>
          <w:rFonts w:ascii="Times New Roman" w:hAnsi="Times New Roman" w:cs="Times New Roman"/>
          <w:i/>
          <w:iCs/>
          <w:sz w:val="24"/>
          <w:szCs w:val="24"/>
        </w:rPr>
        <w:t>notoriety or fame within the entire country</w:t>
      </w:r>
      <w:r w:rsidRPr="003B6601">
        <w:rPr>
          <w:rFonts w:ascii="Times New Roman" w:hAnsi="Times New Roman" w:cs="Times New Roman"/>
          <w:sz w:val="24"/>
          <w:szCs w:val="24"/>
        </w:rPr>
        <w:t xml:space="preserve">, but societal distinction </w:t>
      </w:r>
      <w:r w:rsidRPr="003B6601">
        <w:rPr>
          <w:rFonts w:ascii="Times New Roman" w:hAnsi="Times New Roman" w:cs="Times New Roman"/>
          <w:i/>
          <w:iCs/>
          <w:sz w:val="24"/>
          <w:szCs w:val="24"/>
        </w:rPr>
        <w:t>within a local community</w:t>
      </w:r>
      <w:r w:rsidRPr="003B6601">
        <w:rPr>
          <w:rFonts w:ascii="Times New Roman" w:hAnsi="Times New Roman" w:cs="Times New Roman"/>
          <w:sz w:val="24"/>
          <w:szCs w:val="24"/>
        </w:rPr>
        <w:t xml:space="preserve"> would satisfy the INA definition as well.</w:t>
      </w:r>
    </w:p>
    <w:p w14:paraId="00A0B35A" w14:textId="782F4807" w:rsidR="0094792C" w:rsidRDefault="0094792C" w:rsidP="003B6601">
      <w:pPr>
        <w:pStyle w:val="ListParagraph"/>
        <w:numPr>
          <w:ilvl w:val="2"/>
          <w:numId w:val="1"/>
        </w:numPr>
        <w:rPr>
          <w:rFonts w:ascii="Times New Roman" w:hAnsi="Times New Roman" w:cs="Times New Roman"/>
          <w:sz w:val="24"/>
          <w:szCs w:val="24"/>
        </w:rPr>
      </w:pPr>
      <w:r>
        <w:rPr>
          <w:rFonts w:ascii="Times New Roman" w:hAnsi="Times New Roman" w:cs="Times New Roman"/>
          <w:sz w:val="24"/>
          <w:szCs w:val="24"/>
        </w:rPr>
        <w:t>Use affidavits from members of the relevant society that acknowledges that the family is known within their (local) society.</w:t>
      </w:r>
    </w:p>
    <w:p w14:paraId="48EB2097" w14:textId="4E67DEC9" w:rsidR="0094792C" w:rsidRDefault="0094792C" w:rsidP="0094792C">
      <w:pPr>
        <w:pStyle w:val="ListParagraph"/>
        <w:numPr>
          <w:ilvl w:val="3"/>
          <w:numId w:val="1"/>
        </w:numPr>
        <w:rPr>
          <w:rFonts w:ascii="Times New Roman" w:hAnsi="Times New Roman" w:cs="Times New Roman"/>
          <w:sz w:val="24"/>
          <w:szCs w:val="24"/>
        </w:rPr>
      </w:pPr>
      <w:r>
        <w:rPr>
          <w:rFonts w:ascii="Times New Roman" w:hAnsi="Times New Roman" w:cs="Times New Roman"/>
          <w:sz w:val="24"/>
          <w:szCs w:val="24"/>
        </w:rPr>
        <w:t>Faith leaders, neighbors</w:t>
      </w:r>
    </w:p>
    <w:p w14:paraId="01DA9DE3" w14:textId="22C26823" w:rsidR="0094792C" w:rsidRDefault="0094792C" w:rsidP="0094792C">
      <w:pPr>
        <w:pStyle w:val="ListParagraph"/>
        <w:numPr>
          <w:ilvl w:val="2"/>
          <w:numId w:val="1"/>
        </w:numPr>
        <w:rPr>
          <w:rFonts w:ascii="Times New Roman" w:hAnsi="Times New Roman" w:cs="Times New Roman"/>
          <w:sz w:val="24"/>
          <w:szCs w:val="24"/>
        </w:rPr>
      </w:pPr>
      <w:r>
        <w:rPr>
          <w:rFonts w:ascii="Times New Roman" w:hAnsi="Times New Roman" w:cs="Times New Roman"/>
          <w:sz w:val="24"/>
          <w:szCs w:val="24"/>
        </w:rPr>
        <w:t xml:space="preserve">“Practitioners should consider making a detailed record of the ways in which a person’s community and their country’s legal structure treats </w:t>
      </w:r>
      <w:r>
        <w:rPr>
          <w:rFonts w:ascii="Times New Roman" w:hAnsi="Times New Roman" w:cs="Times New Roman"/>
          <w:i/>
          <w:iCs/>
          <w:sz w:val="24"/>
          <w:szCs w:val="24"/>
        </w:rPr>
        <w:t>their</w:t>
      </w:r>
      <w:r>
        <w:rPr>
          <w:rFonts w:ascii="Times New Roman" w:hAnsi="Times New Roman" w:cs="Times New Roman"/>
          <w:sz w:val="24"/>
          <w:szCs w:val="24"/>
        </w:rPr>
        <w:t xml:space="preserve"> family as a group.” </w:t>
      </w:r>
    </w:p>
    <w:p w14:paraId="09547D66" w14:textId="77777777" w:rsidR="0094792C" w:rsidRDefault="0094792C" w:rsidP="0094792C">
      <w:pPr>
        <w:pStyle w:val="ListParagraph"/>
        <w:numPr>
          <w:ilvl w:val="3"/>
          <w:numId w:val="1"/>
        </w:numPr>
        <w:rPr>
          <w:rFonts w:ascii="Times New Roman" w:hAnsi="Times New Roman" w:cs="Times New Roman"/>
          <w:sz w:val="24"/>
          <w:szCs w:val="24"/>
        </w:rPr>
      </w:pPr>
      <w:r w:rsidRPr="003B6601">
        <w:rPr>
          <w:rFonts w:ascii="Times New Roman" w:hAnsi="Times New Roman" w:cs="Times New Roman"/>
          <w:sz w:val="24"/>
          <w:szCs w:val="24"/>
        </w:rPr>
        <w:t>E.g., family name, inheritance of property, recognition in community groups (church, etc.), presumption of care for children of family members</w:t>
      </w:r>
    </w:p>
    <w:p w14:paraId="1721DE29" w14:textId="77777777" w:rsidR="0094792C" w:rsidRDefault="0094792C" w:rsidP="0094792C">
      <w:pPr>
        <w:pStyle w:val="ListParagraph"/>
        <w:ind w:left="2880"/>
        <w:rPr>
          <w:rFonts w:ascii="Times New Roman" w:hAnsi="Times New Roman" w:cs="Times New Roman"/>
          <w:sz w:val="24"/>
          <w:szCs w:val="24"/>
        </w:rPr>
      </w:pPr>
    </w:p>
    <w:p w14:paraId="5426E6DD" w14:textId="77777777" w:rsidR="003B6601" w:rsidRPr="003B6601" w:rsidRDefault="003B6601" w:rsidP="003B6601">
      <w:pPr>
        <w:pStyle w:val="ListParagraph"/>
        <w:ind w:left="2160"/>
        <w:rPr>
          <w:rFonts w:ascii="Times New Roman" w:hAnsi="Times New Roman" w:cs="Times New Roman"/>
          <w:sz w:val="24"/>
          <w:szCs w:val="24"/>
        </w:rPr>
      </w:pPr>
    </w:p>
    <w:p w14:paraId="58EC3675" w14:textId="4C50D21F" w:rsidR="003B6601" w:rsidRDefault="003B6601" w:rsidP="003B6601">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Quote from MEVG:</w:t>
      </w:r>
    </w:p>
    <w:p w14:paraId="5399C49B" w14:textId="7CC1B61E" w:rsidR="003B6601" w:rsidRDefault="00D55357" w:rsidP="003B6601">
      <w:pPr>
        <w:pStyle w:val="ListParagraph"/>
        <w:ind w:left="1440"/>
        <w:rPr>
          <w:rFonts w:ascii="Times New Roman" w:hAnsi="Times New Roman" w:cs="Times New Roman"/>
          <w:sz w:val="24"/>
          <w:szCs w:val="24"/>
        </w:rPr>
      </w:pPr>
      <w:r>
        <w:rPr>
          <w:rFonts w:ascii="Times New Roman" w:hAnsi="Times New Roman" w:cs="Times New Roman"/>
          <w:sz w:val="24"/>
          <w:szCs w:val="24"/>
        </w:rPr>
        <w:t>[T]he ‘social distinction’ requirement considers whether those with a common immutable characteristic are set apart, or distinct, from other persons within the society in some significant way. In other words, if the common immutable characteristic were known, those with the characteristic in the society in question would be meaningfully distinguished from those who do not have it. A viable particular social group should be perceived within the given society as a sufficiently distinct group. The members of a particular social group will generally understand their own affiliation with the grouping, as will other people in the particular society.  (26 I&amp;N Dec. at 238)</w:t>
      </w:r>
    </w:p>
    <w:p w14:paraId="2E74A2B9" w14:textId="4B935691" w:rsidR="00715A1C" w:rsidRDefault="00715A1C" w:rsidP="003B6601">
      <w:pPr>
        <w:pStyle w:val="ListParagraph"/>
        <w:ind w:left="1440"/>
        <w:rPr>
          <w:rFonts w:ascii="Times New Roman" w:hAnsi="Times New Roman" w:cs="Times New Roman"/>
          <w:sz w:val="24"/>
          <w:szCs w:val="24"/>
        </w:rPr>
      </w:pPr>
    </w:p>
    <w:p w14:paraId="4A5CC376" w14:textId="63C35151" w:rsidR="0094792C" w:rsidRDefault="0094792C" w:rsidP="003B6601">
      <w:pPr>
        <w:pStyle w:val="ListParagraph"/>
        <w:ind w:left="1440"/>
        <w:rPr>
          <w:rFonts w:ascii="Times New Roman" w:hAnsi="Times New Roman" w:cs="Times New Roman"/>
          <w:sz w:val="24"/>
          <w:szCs w:val="24"/>
        </w:rPr>
      </w:pPr>
    </w:p>
    <w:p w14:paraId="57138D41" w14:textId="369A2B25" w:rsidR="0094792C" w:rsidRDefault="0094792C" w:rsidP="0094792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CLINIC: “If the case is before an appellate tribunal, such as the BIA or a court of appeals, consider whether the applicant would benefit from a remand to further develop the record [re. those 3 prongs] in light of the attorney general’s decision.”</w:t>
      </w:r>
    </w:p>
    <w:p w14:paraId="5375ED47" w14:textId="3BF22444" w:rsidR="0094792C" w:rsidRDefault="0094792C" w:rsidP="0094792C">
      <w:pPr>
        <w:rPr>
          <w:rFonts w:ascii="Times New Roman" w:hAnsi="Times New Roman" w:cs="Times New Roman"/>
          <w:sz w:val="24"/>
          <w:szCs w:val="24"/>
        </w:rPr>
      </w:pPr>
    </w:p>
    <w:p w14:paraId="53660EA8" w14:textId="75A2C823" w:rsidR="0094792C" w:rsidRPr="0094792C" w:rsidRDefault="0094792C" w:rsidP="0094792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CLINIC: “It is difficult to conceive of a PSG that meets the elements of immutability, particularity, and social distinction more clearly than a family group.” </w:t>
      </w:r>
      <w:r w:rsidR="0053167F">
        <w:rPr>
          <w:rFonts w:ascii="Times New Roman" w:hAnsi="Times New Roman" w:cs="Times New Roman"/>
          <w:sz w:val="24"/>
          <w:szCs w:val="24"/>
        </w:rPr>
        <w:t xml:space="preserve">Catholic Legal Immigration Network,  Inc. 15 “Practice Pointer: </w:t>
      </w:r>
      <w:r w:rsidR="0053167F">
        <w:rPr>
          <w:rFonts w:ascii="Times New Roman" w:hAnsi="Times New Roman" w:cs="Times New Roman"/>
          <w:i/>
          <w:iCs/>
          <w:sz w:val="24"/>
          <w:szCs w:val="24"/>
        </w:rPr>
        <w:t>Matter of L-E-A-</w:t>
      </w:r>
      <w:r w:rsidR="0053167F">
        <w:rPr>
          <w:rFonts w:ascii="Times New Roman" w:hAnsi="Times New Roman" w:cs="Times New Roman"/>
          <w:sz w:val="24"/>
          <w:szCs w:val="24"/>
        </w:rPr>
        <w:t>, 27 I&amp;N Dec. 581 (A.G. 2019)” (2019)</w:t>
      </w:r>
    </w:p>
    <w:sectPr w:rsidR="0094792C" w:rsidRPr="009479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421626"/>
    <w:multiLevelType w:val="hybridMultilevel"/>
    <w:tmpl w:val="2C16A942"/>
    <w:lvl w:ilvl="0" w:tplc="0568BEDA">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71B"/>
    <w:rsid w:val="000F2E0C"/>
    <w:rsid w:val="001C5F43"/>
    <w:rsid w:val="003B6601"/>
    <w:rsid w:val="004D171B"/>
    <w:rsid w:val="0053167F"/>
    <w:rsid w:val="00715A1C"/>
    <w:rsid w:val="0094792C"/>
    <w:rsid w:val="00D55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D9024"/>
  <w15:chartTrackingRefBased/>
  <w15:docId w15:val="{E6242DE3-FB2C-4E49-8604-AC6DCB303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17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dc:creator>
  <cp:keywords/>
  <dc:description/>
  <cp:lastModifiedBy>Paige Britton</cp:lastModifiedBy>
  <cp:revision>2</cp:revision>
  <dcterms:created xsi:type="dcterms:W3CDTF">2019-11-26T00:16:00Z</dcterms:created>
  <dcterms:modified xsi:type="dcterms:W3CDTF">2019-11-26T00:16:00Z</dcterms:modified>
</cp:coreProperties>
</file>