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7F99FF" w14:textId="22BB90EB" w:rsidR="00CE41B9" w:rsidRPr="00077658" w:rsidRDefault="00077658" w:rsidP="00077658">
      <w:pPr>
        <w:jc w:val="center"/>
        <w:rPr>
          <w:b/>
          <w:sz w:val="24"/>
          <w:szCs w:val="24"/>
        </w:rPr>
      </w:pPr>
      <w:r w:rsidRPr="00077658">
        <w:rPr>
          <w:b/>
          <w:sz w:val="24"/>
          <w:szCs w:val="24"/>
        </w:rPr>
        <w:t>Immigration Court:</w:t>
      </w:r>
      <w:r w:rsidR="001E1789">
        <w:rPr>
          <w:b/>
          <w:sz w:val="24"/>
          <w:szCs w:val="24"/>
        </w:rPr>
        <w:t xml:space="preserve"> BIA</w:t>
      </w:r>
    </w:p>
    <w:p w14:paraId="5C6A3672" w14:textId="40C77DF0" w:rsidR="00077658" w:rsidRPr="001E1789" w:rsidRDefault="00077658" w:rsidP="00077658">
      <w:pPr>
        <w:rPr>
          <w:bCs/>
          <w:sz w:val="24"/>
          <w:szCs w:val="24"/>
        </w:rPr>
      </w:pPr>
      <w:r w:rsidRPr="00077658">
        <w:rPr>
          <w:b/>
          <w:sz w:val="24"/>
          <w:szCs w:val="24"/>
        </w:rPr>
        <w:t>Ca</w:t>
      </w:r>
      <w:r>
        <w:rPr>
          <w:b/>
          <w:sz w:val="24"/>
          <w:szCs w:val="24"/>
        </w:rPr>
        <w:t>se:</w:t>
      </w:r>
      <w:r>
        <w:rPr>
          <w:b/>
          <w:sz w:val="24"/>
          <w:szCs w:val="24"/>
        </w:rPr>
        <w:tab/>
      </w:r>
      <w:bookmarkStart w:id="0" w:name="_GoBack"/>
      <w:r w:rsidR="001E1789">
        <w:rPr>
          <w:bCs/>
          <w:i/>
          <w:iCs/>
          <w:sz w:val="24"/>
          <w:szCs w:val="24"/>
        </w:rPr>
        <w:t>In re. Cristobal Perez</w:t>
      </w:r>
      <w:r w:rsidR="001E1789">
        <w:rPr>
          <w:bCs/>
          <w:sz w:val="24"/>
          <w:szCs w:val="24"/>
        </w:rPr>
        <w:t>, 22 I&amp;N 689 (BIA 1999)</w:t>
      </w:r>
      <w:bookmarkEnd w:id="0"/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Date:</w:t>
      </w:r>
      <w:r w:rsidR="001E1789">
        <w:rPr>
          <w:bCs/>
          <w:sz w:val="24"/>
          <w:szCs w:val="24"/>
        </w:rPr>
        <w:t xml:space="preserve"> May 12, 1999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14:paraId="71B79066" w14:textId="234F4EA2" w:rsidR="00077658" w:rsidRPr="001E1789" w:rsidRDefault="00077658" w:rsidP="00077658">
      <w:pPr>
        <w:rPr>
          <w:bCs/>
          <w:sz w:val="24"/>
          <w:szCs w:val="24"/>
        </w:rPr>
      </w:pPr>
      <w:r>
        <w:rPr>
          <w:b/>
          <w:sz w:val="24"/>
          <w:szCs w:val="24"/>
        </w:rPr>
        <w:t>Opinion:</w:t>
      </w:r>
      <w:r w:rsidR="001E1789">
        <w:rPr>
          <w:bCs/>
          <w:sz w:val="24"/>
          <w:szCs w:val="24"/>
        </w:rPr>
        <w:t xml:space="preserve"> </w:t>
      </w:r>
      <w:proofErr w:type="spellStart"/>
      <w:r w:rsidR="001E1789">
        <w:rPr>
          <w:bCs/>
          <w:sz w:val="24"/>
          <w:szCs w:val="24"/>
        </w:rPr>
        <w:t>Filppu</w:t>
      </w:r>
      <w:proofErr w:type="spellEnd"/>
    </w:p>
    <w:p w14:paraId="2A2B82DB" w14:textId="427D40C1" w:rsidR="00077658" w:rsidRPr="001E1789" w:rsidRDefault="00077658" w:rsidP="00077658">
      <w:pPr>
        <w:rPr>
          <w:bCs/>
          <w:sz w:val="24"/>
          <w:szCs w:val="24"/>
        </w:rPr>
      </w:pPr>
      <w:r>
        <w:rPr>
          <w:b/>
          <w:sz w:val="24"/>
          <w:szCs w:val="24"/>
        </w:rPr>
        <w:t>Tags:</w:t>
      </w:r>
      <w:r w:rsidR="001E1789">
        <w:rPr>
          <w:bCs/>
          <w:sz w:val="24"/>
          <w:szCs w:val="24"/>
        </w:rPr>
        <w:t xml:space="preserve"> Continuous residence/physical presence, cancellation of removal, qualifying offense, admission, stop time rule</w:t>
      </w:r>
    </w:p>
    <w:p w14:paraId="6247D151" w14:textId="3105A3E0" w:rsidR="00077658" w:rsidRPr="001E1789" w:rsidRDefault="00077658" w:rsidP="001E1789">
      <w:pPr>
        <w:spacing w:after="0"/>
        <w:rPr>
          <w:bCs/>
          <w:sz w:val="24"/>
          <w:szCs w:val="24"/>
        </w:rPr>
      </w:pPr>
      <w:r>
        <w:rPr>
          <w:b/>
          <w:sz w:val="24"/>
          <w:szCs w:val="24"/>
        </w:rPr>
        <w:t>Question Presented:</w:t>
      </w:r>
      <w:r w:rsidR="001E1789">
        <w:rPr>
          <w:bCs/>
          <w:sz w:val="24"/>
          <w:szCs w:val="24"/>
        </w:rPr>
        <w:t xml:space="preserve"> When does continuous residence begin and end?</w:t>
      </w:r>
    </w:p>
    <w:p w14:paraId="7835EE62" w14:textId="77777777" w:rsidR="00077658" w:rsidRDefault="00077658" w:rsidP="001E1789">
      <w:pPr>
        <w:spacing w:after="0"/>
        <w:rPr>
          <w:b/>
          <w:sz w:val="24"/>
          <w:szCs w:val="24"/>
        </w:rPr>
      </w:pPr>
    </w:p>
    <w:p w14:paraId="01D376F8" w14:textId="77777777" w:rsidR="00C47E90" w:rsidRDefault="00077658" w:rsidP="001E1789">
      <w:pPr>
        <w:spacing w:after="0"/>
        <w:rPr>
          <w:bCs/>
          <w:sz w:val="24"/>
          <w:szCs w:val="24"/>
        </w:rPr>
      </w:pPr>
      <w:r>
        <w:rPr>
          <w:b/>
          <w:sz w:val="24"/>
          <w:szCs w:val="24"/>
        </w:rPr>
        <w:t>Holdings:</w:t>
      </w:r>
      <w:r w:rsidR="00237659">
        <w:rPr>
          <w:bCs/>
          <w:sz w:val="24"/>
          <w:szCs w:val="24"/>
        </w:rPr>
        <w:t xml:space="preserve"> </w:t>
      </w:r>
    </w:p>
    <w:p w14:paraId="692D0CD1" w14:textId="77777777" w:rsidR="00C47E90" w:rsidRDefault="00237659" w:rsidP="00C47E90">
      <w:pPr>
        <w:pStyle w:val="ListParagraph"/>
        <w:numPr>
          <w:ilvl w:val="0"/>
          <w:numId w:val="4"/>
        </w:numPr>
        <w:spacing w:after="0"/>
        <w:rPr>
          <w:bCs/>
          <w:sz w:val="24"/>
          <w:szCs w:val="24"/>
        </w:rPr>
      </w:pPr>
      <w:r w:rsidRPr="00C47E90">
        <w:rPr>
          <w:bCs/>
          <w:sz w:val="24"/>
          <w:szCs w:val="24"/>
        </w:rPr>
        <w:t>Continuous residence begins with admission</w:t>
      </w:r>
      <w:r w:rsidR="00C47E90" w:rsidRPr="00C47E90">
        <w:rPr>
          <w:bCs/>
          <w:sz w:val="24"/>
          <w:szCs w:val="24"/>
        </w:rPr>
        <w:t xml:space="preserve"> in any status</w:t>
      </w:r>
      <w:r w:rsidRPr="00C47E90">
        <w:rPr>
          <w:bCs/>
          <w:sz w:val="24"/>
          <w:szCs w:val="24"/>
        </w:rPr>
        <w:t>;</w:t>
      </w:r>
    </w:p>
    <w:p w14:paraId="532B57DD" w14:textId="77777777" w:rsidR="00C47E90" w:rsidRDefault="00237659" w:rsidP="00C47E90">
      <w:pPr>
        <w:pStyle w:val="ListParagraph"/>
        <w:numPr>
          <w:ilvl w:val="0"/>
          <w:numId w:val="4"/>
        </w:numPr>
        <w:spacing w:after="0"/>
        <w:rPr>
          <w:bCs/>
          <w:sz w:val="24"/>
          <w:szCs w:val="24"/>
        </w:rPr>
      </w:pPr>
      <w:r w:rsidRPr="00C47E90">
        <w:rPr>
          <w:bCs/>
          <w:sz w:val="24"/>
          <w:szCs w:val="24"/>
        </w:rPr>
        <w:t xml:space="preserve">“stop-time rule” kicks in on the date that a qualifying offense is committed. </w:t>
      </w:r>
    </w:p>
    <w:p w14:paraId="48071D43" w14:textId="069FC71B" w:rsidR="00077658" w:rsidRPr="00C47E90" w:rsidRDefault="00237659" w:rsidP="00C47E90">
      <w:pPr>
        <w:pStyle w:val="ListParagraph"/>
        <w:numPr>
          <w:ilvl w:val="0"/>
          <w:numId w:val="4"/>
        </w:numPr>
        <w:spacing w:after="0"/>
        <w:rPr>
          <w:bCs/>
          <w:sz w:val="24"/>
          <w:szCs w:val="24"/>
        </w:rPr>
      </w:pPr>
      <w:r w:rsidRPr="00C47E90">
        <w:rPr>
          <w:bCs/>
          <w:sz w:val="24"/>
          <w:szCs w:val="24"/>
        </w:rPr>
        <w:t>Appeal dismissed.</w:t>
      </w:r>
    </w:p>
    <w:p w14:paraId="53FA7053" w14:textId="77777777" w:rsidR="00077658" w:rsidRDefault="00077658" w:rsidP="001E1789">
      <w:pPr>
        <w:spacing w:after="0"/>
        <w:rPr>
          <w:b/>
          <w:sz w:val="24"/>
          <w:szCs w:val="24"/>
        </w:rPr>
      </w:pPr>
    </w:p>
    <w:p w14:paraId="49B409F3" w14:textId="7157E39A" w:rsidR="00077658" w:rsidRPr="00C47E90" w:rsidRDefault="00077658" w:rsidP="001E1789">
      <w:pPr>
        <w:spacing w:after="0"/>
        <w:rPr>
          <w:bCs/>
          <w:sz w:val="24"/>
          <w:szCs w:val="24"/>
        </w:rPr>
      </w:pPr>
      <w:r>
        <w:rPr>
          <w:b/>
          <w:sz w:val="24"/>
          <w:szCs w:val="24"/>
        </w:rPr>
        <w:t>Rationale:</w:t>
      </w:r>
      <w:r w:rsidR="00C47E90">
        <w:rPr>
          <w:bCs/>
          <w:sz w:val="24"/>
          <w:szCs w:val="24"/>
        </w:rPr>
        <w:t xml:space="preserve"> “Natural and straightforward reading” of the statute. (693)</w:t>
      </w:r>
    </w:p>
    <w:p w14:paraId="1AEE9B67" w14:textId="77777777" w:rsidR="00077658" w:rsidRDefault="00077658" w:rsidP="001E1789">
      <w:pPr>
        <w:spacing w:after="0"/>
        <w:rPr>
          <w:b/>
          <w:sz w:val="24"/>
          <w:szCs w:val="24"/>
        </w:rPr>
      </w:pPr>
    </w:p>
    <w:p w14:paraId="4ECC7604" w14:textId="6B33B0BD" w:rsidR="00077658" w:rsidRPr="001E1789" w:rsidRDefault="00077658" w:rsidP="001E1789">
      <w:pPr>
        <w:spacing w:after="0"/>
        <w:rPr>
          <w:bCs/>
          <w:sz w:val="24"/>
          <w:szCs w:val="24"/>
        </w:rPr>
      </w:pPr>
      <w:r>
        <w:rPr>
          <w:b/>
          <w:sz w:val="24"/>
          <w:szCs w:val="24"/>
        </w:rPr>
        <w:t>Facts:</w:t>
      </w:r>
      <w:r w:rsidR="001E1789">
        <w:rPr>
          <w:bCs/>
          <w:sz w:val="24"/>
          <w:szCs w:val="24"/>
        </w:rPr>
        <w:t xml:space="preserve"> Appeal of removal </w:t>
      </w:r>
      <w:r w:rsidR="00237659">
        <w:rPr>
          <w:bCs/>
          <w:sz w:val="24"/>
          <w:szCs w:val="24"/>
        </w:rPr>
        <w:t>decision in case where there was a controlled substance violation: argues that IJ was wrong to say that the required period of permanent residence ended with the commission of the offense. Argues from retroactivity: offense was committed in 1992, prior to new INA statute.</w:t>
      </w:r>
    </w:p>
    <w:p w14:paraId="14D848C1" w14:textId="77777777" w:rsidR="00077658" w:rsidRDefault="00077658" w:rsidP="001E1789">
      <w:pPr>
        <w:spacing w:after="0"/>
        <w:rPr>
          <w:b/>
          <w:sz w:val="24"/>
          <w:szCs w:val="24"/>
        </w:rPr>
      </w:pPr>
    </w:p>
    <w:p w14:paraId="486BCAA9" w14:textId="4C8FF10B" w:rsidR="00077658" w:rsidRDefault="00077658" w:rsidP="001E178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History of the Case:</w:t>
      </w:r>
    </w:p>
    <w:p w14:paraId="763122E3" w14:textId="5536A445" w:rsidR="00237659" w:rsidRPr="00237659" w:rsidRDefault="00237659" w:rsidP="00237659">
      <w:pPr>
        <w:pStyle w:val="ListParagraph"/>
        <w:numPr>
          <w:ilvl w:val="0"/>
          <w:numId w:val="3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1989: </w:t>
      </w:r>
      <w:r>
        <w:rPr>
          <w:bCs/>
          <w:sz w:val="24"/>
          <w:szCs w:val="24"/>
        </w:rPr>
        <w:t>admitted as temporary resident</w:t>
      </w:r>
    </w:p>
    <w:p w14:paraId="2C48C2CF" w14:textId="6B58FEE7" w:rsidR="00237659" w:rsidRPr="00237659" w:rsidRDefault="00237659" w:rsidP="00237659">
      <w:pPr>
        <w:pStyle w:val="ListParagraph"/>
        <w:numPr>
          <w:ilvl w:val="0"/>
          <w:numId w:val="3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1990:</w:t>
      </w:r>
      <w:r>
        <w:rPr>
          <w:bCs/>
          <w:sz w:val="24"/>
          <w:szCs w:val="24"/>
        </w:rPr>
        <w:t xml:space="preserve"> AOS to LPR</w:t>
      </w:r>
    </w:p>
    <w:p w14:paraId="5037E59E" w14:textId="21D39571" w:rsidR="00237659" w:rsidRPr="00237659" w:rsidRDefault="00237659" w:rsidP="00237659">
      <w:pPr>
        <w:pStyle w:val="ListParagraph"/>
        <w:numPr>
          <w:ilvl w:val="0"/>
          <w:numId w:val="3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1992:</w:t>
      </w:r>
      <w:r>
        <w:rPr>
          <w:bCs/>
          <w:sz w:val="24"/>
          <w:szCs w:val="24"/>
        </w:rPr>
        <w:t xml:space="preserve"> drug offense committed</w:t>
      </w:r>
      <w:r w:rsidR="00C47E90">
        <w:rPr>
          <w:bCs/>
          <w:sz w:val="24"/>
          <w:szCs w:val="24"/>
        </w:rPr>
        <w:t xml:space="preserve"> (therefore “stop-time” rule kicks in)</w:t>
      </w:r>
    </w:p>
    <w:p w14:paraId="0D72764F" w14:textId="14B6CBB0" w:rsidR="00237659" w:rsidRDefault="00237659" w:rsidP="00237659">
      <w:pPr>
        <w:pStyle w:val="ListParagraph"/>
        <w:numPr>
          <w:ilvl w:val="0"/>
          <w:numId w:val="3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1997: </w:t>
      </w:r>
      <w:r>
        <w:rPr>
          <w:bCs/>
          <w:sz w:val="24"/>
          <w:szCs w:val="24"/>
        </w:rPr>
        <w:t>convicted of offense</w:t>
      </w:r>
    </w:p>
    <w:p w14:paraId="491F0BF0" w14:textId="6B60A89B" w:rsidR="00237659" w:rsidRPr="00237659" w:rsidRDefault="00237659" w:rsidP="00237659">
      <w:pPr>
        <w:pStyle w:val="ListParagraph"/>
        <w:numPr>
          <w:ilvl w:val="0"/>
          <w:numId w:val="3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1997: Removal proceedings: </w:t>
      </w:r>
    </w:p>
    <w:p w14:paraId="6A4A9839" w14:textId="77777777" w:rsidR="00077658" w:rsidRDefault="00077658" w:rsidP="001E1789">
      <w:pPr>
        <w:spacing w:after="0"/>
        <w:rPr>
          <w:b/>
          <w:sz w:val="24"/>
          <w:szCs w:val="24"/>
        </w:rPr>
      </w:pPr>
    </w:p>
    <w:p w14:paraId="4ABEB2F3" w14:textId="75B7CA85" w:rsidR="00077658" w:rsidRDefault="00077658" w:rsidP="001E178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Appeals to Statute &amp; Precedent:</w:t>
      </w:r>
    </w:p>
    <w:p w14:paraId="52AED93E" w14:textId="47AA776F" w:rsidR="00C47E90" w:rsidRPr="00C47E90" w:rsidRDefault="00C47E90" w:rsidP="001E1789">
      <w:pPr>
        <w:pStyle w:val="ListParagraph"/>
        <w:numPr>
          <w:ilvl w:val="0"/>
          <w:numId w:val="2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INA 240A:</w:t>
      </w:r>
      <w:r>
        <w:rPr>
          <w:bCs/>
          <w:sz w:val="24"/>
          <w:szCs w:val="24"/>
        </w:rPr>
        <w:t xml:space="preserve"> Prerequisites for cancellation of removal relief:</w:t>
      </w:r>
    </w:p>
    <w:p w14:paraId="71B4C1CD" w14:textId="67AC2B8C" w:rsidR="00C47E90" w:rsidRPr="00C47E90" w:rsidRDefault="00C47E90" w:rsidP="00C47E90">
      <w:pPr>
        <w:pStyle w:val="ListParagraph"/>
        <w:numPr>
          <w:ilvl w:val="1"/>
          <w:numId w:val="2"/>
        </w:numPr>
        <w:spacing w:after="0"/>
        <w:rPr>
          <w:b/>
          <w:sz w:val="24"/>
          <w:szCs w:val="24"/>
        </w:rPr>
      </w:pPr>
      <w:r>
        <w:rPr>
          <w:bCs/>
          <w:sz w:val="24"/>
          <w:szCs w:val="24"/>
        </w:rPr>
        <w:t>Lawfully admitted for permanent residence for not less than 5 years</w:t>
      </w:r>
    </w:p>
    <w:p w14:paraId="530F92F1" w14:textId="06BFB832" w:rsidR="00C47E90" w:rsidRPr="00C47E90" w:rsidRDefault="00C47E90" w:rsidP="00C47E90">
      <w:pPr>
        <w:pStyle w:val="ListParagraph"/>
        <w:numPr>
          <w:ilvl w:val="1"/>
          <w:numId w:val="2"/>
        </w:numPr>
        <w:spacing w:after="0"/>
        <w:rPr>
          <w:b/>
          <w:sz w:val="24"/>
          <w:szCs w:val="24"/>
        </w:rPr>
      </w:pPr>
      <w:r>
        <w:rPr>
          <w:bCs/>
          <w:sz w:val="24"/>
          <w:szCs w:val="24"/>
        </w:rPr>
        <w:t xml:space="preserve">Has resided continuously in US for 7 years after admission </w:t>
      </w:r>
      <w:r>
        <w:rPr>
          <w:bCs/>
          <w:i/>
          <w:iCs/>
          <w:sz w:val="24"/>
          <w:szCs w:val="24"/>
        </w:rPr>
        <w:t>in any status</w:t>
      </w:r>
    </w:p>
    <w:p w14:paraId="040A0F30" w14:textId="67E6D1BA" w:rsidR="00C47E90" w:rsidRDefault="00C47E90" w:rsidP="00C47E90">
      <w:pPr>
        <w:pStyle w:val="ListParagraph"/>
        <w:numPr>
          <w:ilvl w:val="1"/>
          <w:numId w:val="2"/>
        </w:numPr>
        <w:spacing w:after="0"/>
        <w:rPr>
          <w:b/>
          <w:sz w:val="24"/>
          <w:szCs w:val="24"/>
        </w:rPr>
      </w:pPr>
      <w:r>
        <w:rPr>
          <w:bCs/>
          <w:sz w:val="24"/>
          <w:szCs w:val="24"/>
        </w:rPr>
        <w:t>Has not been convicted of an aggravated felony</w:t>
      </w:r>
    </w:p>
    <w:p w14:paraId="26E14E7F" w14:textId="3C318457" w:rsidR="001E1789" w:rsidRPr="001E1789" w:rsidRDefault="001E1789" w:rsidP="001E1789">
      <w:pPr>
        <w:pStyle w:val="ListParagraph"/>
        <w:numPr>
          <w:ilvl w:val="0"/>
          <w:numId w:val="2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INA 240A(d)(1):</w:t>
      </w:r>
      <w:r>
        <w:rPr>
          <w:bCs/>
          <w:sz w:val="24"/>
          <w:szCs w:val="24"/>
        </w:rPr>
        <w:t xml:space="preserve"> </w:t>
      </w:r>
      <w:r w:rsidR="00237659">
        <w:rPr>
          <w:bCs/>
          <w:sz w:val="24"/>
          <w:szCs w:val="24"/>
        </w:rPr>
        <w:t xml:space="preserve">“stop-time rule”: </w:t>
      </w:r>
      <w:r>
        <w:rPr>
          <w:bCs/>
          <w:sz w:val="24"/>
          <w:szCs w:val="24"/>
        </w:rPr>
        <w:t>continuous residence ends when qualifying crime is committed.</w:t>
      </w:r>
    </w:p>
    <w:p w14:paraId="22FF6500" w14:textId="0814BC3E" w:rsidR="001E1789" w:rsidRPr="001E1789" w:rsidRDefault="001E1789" w:rsidP="001E1789">
      <w:pPr>
        <w:pStyle w:val="ListParagraph"/>
        <w:numPr>
          <w:ilvl w:val="0"/>
          <w:numId w:val="2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INA 237(a)(2) (B)(</w:t>
      </w:r>
      <w:proofErr w:type="spellStart"/>
      <w:r>
        <w:rPr>
          <w:b/>
          <w:sz w:val="24"/>
          <w:szCs w:val="24"/>
        </w:rPr>
        <w:t>i</w:t>
      </w:r>
      <w:proofErr w:type="spellEnd"/>
      <w:r>
        <w:rPr>
          <w:b/>
          <w:sz w:val="24"/>
          <w:szCs w:val="24"/>
        </w:rPr>
        <w:t>):</w:t>
      </w:r>
      <w:r>
        <w:rPr>
          <w:bCs/>
          <w:sz w:val="24"/>
          <w:szCs w:val="24"/>
        </w:rPr>
        <w:t xml:space="preserve"> controlled substance violation &amp; removal</w:t>
      </w:r>
    </w:p>
    <w:p w14:paraId="10E3F1DE" w14:textId="77777777" w:rsidR="00077658" w:rsidRDefault="00077658" w:rsidP="001E1789">
      <w:pPr>
        <w:spacing w:after="0"/>
        <w:rPr>
          <w:b/>
          <w:sz w:val="24"/>
          <w:szCs w:val="24"/>
        </w:rPr>
      </w:pPr>
    </w:p>
    <w:p w14:paraId="0C49FC54" w14:textId="77777777" w:rsidR="00077658" w:rsidRDefault="00077658" w:rsidP="001E178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Quotes:</w:t>
      </w:r>
    </w:p>
    <w:p w14:paraId="0D61D7A5" w14:textId="3AF8D0C4" w:rsidR="00077658" w:rsidRPr="00C53371" w:rsidRDefault="00C47E90" w:rsidP="00C47E90">
      <w:pPr>
        <w:pStyle w:val="ListParagraph"/>
        <w:numPr>
          <w:ilvl w:val="0"/>
          <w:numId w:val="2"/>
        </w:numPr>
        <w:spacing w:after="0"/>
        <w:rPr>
          <w:b/>
          <w:sz w:val="24"/>
          <w:szCs w:val="24"/>
        </w:rPr>
      </w:pPr>
      <w:r>
        <w:rPr>
          <w:bCs/>
          <w:sz w:val="24"/>
          <w:szCs w:val="24"/>
        </w:rPr>
        <w:t xml:space="preserve">“The respondent </w:t>
      </w:r>
      <w:r>
        <w:rPr>
          <w:bCs/>
          <w:i/>
          <w:iCs/>
          <w:sz w:val="24"/>
          <w:szCs w:val="24"/>
        </w:rPr>
        <w:t>committed</w:t>
      </w:r>
      <w:r>
        <w:rPr>
          <w:bCs/>
          <w:sz w:val="24"/>
          <w:szCs w:val="24"/>
        </w:rPr>
        <w:t xml:space="preserve"> his criminal offense before he accrued 7 years of residence. However, he was </w:t>
      </w:r>
      <w:r>
        <w:rPr>
          <w:bCs/>
          <w:i/>
          <w:iCs/>
          <w:sz w:val="24"/>
          <w:szCs w:val="24"/>
        </w:rPr>
        <w:t>convicted</w:t>
      </w:r>
      <w:r>
        <w:rPr>
          <w:bCs/>
          <w:sz w:val="24"/>
          <w:szCs w:val="24"/>
        </w:rPr>
        <w:t xml:space="preserve"> of that offense nearly 8 years after his admission as a temporary resident.” (692)</w:t>
      </w:r>
    </w:p>
    <w:p w14:paraId="766DBCD3" w14:textId="4671A537" w:rsidR="00C53371" w:rsidRPr="00C47E90" w:rsidRDefault="00C53371" w:rsidP="00C47E90">
      <w:pPr>
        <w:pStyle w:val="ListParagraph"/>
        <w:numPr>
          <w:ilvl w:val="0"/>
          <w:numId w:val="2"/>
        </w:numPr>
        <w:spacing w:after="0"/>
        <w:rPr>
          <w:b/>
          <w:sz w:val="24"/>
          <w:szCs w:val="24"/>
        </w:rPr>
      </w:pPr>
      <w:r>
        <w:rPr>
          <w:bCs/>
          <w:sz w:val="24"/>
          <w:szCs w:val="24"/>
        </w:rPr>
        <w:t>“It is significant that Congress did not use the word ‘convicted’ in section 240A(d)(1) of the Act. Rather, it chose the word ‘</w:t>
      </w:r>
      <w:r>
        <w:rPr>
          <w:bCs/>
          <w:i/>
          <w:iCs/>
          <w:sz w:val="24"/>
          <w:szCs w:val="24"/>
        </w:rPr>
        <w:t>committed</w:t>
      </w:r>
      <w:r>
        <w:rPr>
          <w:bCs/>
          <w:sz w:val="24"/>
          <w:szCs w:val="24"/>
        </w:rPr>
        <w:t>’ for the rule governing the calculation of continuous residence and physical presence.” (694)</w:t>
      </w:r>
    </w:p>
    <w:p w14:paraId="118570C8" w14:textId="77777777" w:rsidR="00C47E90" w:rsidRPr="00C47E90" w:rsidRDefault="00C47E90" w:rsidP="00C47E90">
      <w:pPr>
        <w:pStyle w:val="ListParagraph"/>
        <w:spacing w:after="0"/>
        <w:rPr>
          <w:b/>
          <w:sz w:val="24"/>
          <w:szCs w:val="24"/>
        </w:rPr>
      </w:pPr>
    </w:p>
    <w:p w14:paraId="19333351" w14:textId="5093AB45" w:rsidR="001E1789" w:rsidRDefault="00077658" w:rsidP="001E1789">
      <w:pPr>
        <w:spacing w:after="0"/>
        <w:rPr>
          <w:bCs/>
          <w:sz w:val="24"/>
          <w:szCs w:val="24"/>
        </w:rPr>
      </w:pPr>
      <w:r>
        <w:rPr>
          <w:b/>
          <w:sz w:val="24"/>
          <w:szCs w:val="24"/>
        </w:rPr>
        <w:t>Commentary:</w:t>
      </w:r>
    </w:p>
    <w:p w14:paraId="4C1E5AB2" w14:textId="44E8A987" w:rsidR="001E1789" w:rsidRDefault="001E1789" w:rsidP="001E1789">
      <w:pPr>
        <w:pStyle w:val="ListParagraph"/>
        <w:numPr>
          <w:ilvl w:val="0"/>
          <w:numId w:val="1"/>
        </w:numPr>
        <w:spacing w:after="0"/>
        <w:rPr>
          <w:bCs/>
          <w:sz w:val="24"/>
          <w:szCs w:val="24"/>
        </w:rPr>
      </w:pPr>
      <w:r w:rsidRPr="001E1789">
        <w:rPr>
          <w:b/>
          <w:sz w:val="24"/>
          <w:szCs w:val="24"/>
        </w:rPr>
        <w:t>Admission</w:t>
      </w:r>
      <w:r>
        <w:rPr>
          <w:bCs/>
          <w:sz w:val="24"/>
          <w:szCs w:val="24"/>
        </w:rPr>
        <w:t xml:space="preserve"> =</w:t>
      </w:r>
    </w:p>
    <w:p w14:paraId="2CBC7490" w14:textId="6FC07142" w:rsidR="001E1789" w:rsidRDefault="001E1789" w:rsidP="001E1789">
      <w:pPr>
        <w:pStyle w:val="ListParagraph"/>
        <w:numPr>
          <w:ilvl w:val="0"/>
          <w:numId w:val="1"/>
        </w:numPr>
        <w:spacing w:after="0"/>
        <w:rPr>
          <w:bCs/>
          <w:sz w:val="24"/>
          <w:szCs w:val="24"/>
        </w:rPr>
      </w:pPr>
      <w:r w:rsidRPr="001E1789">
        <w:rPr>
          <w:b/>
          <w:sz w:val="24"/>
          <w:szCs w:val="24"/>
        </w:rPr>
        <w:t>Time stops</w:t>
      </w:r>
      <w:r>
        <w:rPr>
          <w:bCs/>
          <w:sz w:val="24"/>
          <w:szCs w:val="24"/>
        </w:rPr>
        <w:t xml:space="preserve"> = on date when offense is committed (physical presence ENDS)</w:t>
      </w:r>
    </w:p>
    <w:p w14:paraId="649C57E6" w14:textId="39102D35" w:rsidR="001E1789" w:rsidRDefault="001E1789" w:rsidP="001E1789">
      <w:pPr>
        <w:pStyle w:val="ListParagraph"/>
        <w:numPr>
          <w:ilvl w:val="0"/>
          <w:numId w:val="1"/>
        </w:numPr>
        <w:spacing w:after="0"/>
        <w:rPr>
          <w:bCs/>
          <w:sz w:val="24"/>
          <w:szCs w:val="24"/>
        </w:rPr>
      </w:pPr>
      <w:r w:rsidRPr="001E1789">
        <w:rPr>
          <w:b/>
          <w:sz w:val="24"/>
          <w:szCs w:val="24"/>
        </w:rPr>
        <w:t>Continuous physical presence</w:t>
      </w:r>
      <w:r>
        <w:rPr>
          <w:bCs/>
          <w:sz w:val="24"/>
          <w:szCs w:val="24"/>
        </w:rPr>
        <w:t xml:space="preserve"> = begins with admission</w:t>
      </w:r>
    </w:p>
    <w:p w14:paraId="3CA32F7C" w14:textId="2448A7E4" w:rsidR="00237659" w:rsidRPr="001E1789" w:rsidRDefault="00237659" w:rsidP="001E1789">
      <w:pPr>
        <w:pStyle w:val="ListParagraph"/>
        <w:numPr>
          <w:ilvl w:val="0"/>
          <w:numId w:val="1"/>
        </w:numPr>
        <w:spacing w:after="0"/>
        <w:rPr>
          <w:bCs/>
          <w:sz w:val="24"/>
          <w:szCs w:val="24"/>
        </w:rPr>
      </w:pPr>
      <w:r>
        <w:rPr>
          <w:b/>
          <w:sz w:val="24"/>
          <w:szCs w:val="24"/>
        </w:rPr>
        <w:t>Re. retroactivity:</w:t>
      </w:r>
      <w:r>
        <w:rPr>
          <w:bCs/>
          <w:sz w:val="24"/>
          <w:szCs w:val="24"/>
        </w:rPr>
        <w:t xml:space="preserve"> Not relevant here; the new rules apply even to offense committed prior to the enactment of the statute.</w:t>
      </w:r>
    </w:p>
    <w:sectPr w:rsidR="00237659" w:rsidRPr="001E1789" w:rsidSect="00CE41B9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F8689E" w14:textId="77777777" w:rsidR="00AC4227" w:rsidRDefault="00AC4227" w:rsidP="00077658">
      <w:pPr>
        <w:spacing w:after="0" w:line="240" w:lineRule="auto"/>
      </w:pPr>
      <w:r>
        <w:separator/>
      </w:r>
    </w:p>
  </w:endnote>
  <w:endnote w:type="continuationSeparator" w:id="0">
    <w:p w14:paraId="73FCFFE8" w14:textId="77777777" w:rsidR="00AC4227" w:rsidRDefault="00AC4227" w:rsidP="000776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8C47EA" w14:textId="77777777" w:rsidR="00AC4227" w:rsidRDefault="00AC4227" w:rsidP="00077658">
      <w:pPr>
        <w:spacing w:after="0" w:line="240" w:lineRule="auto"/>
      </w:pPr>
      <w:r>
        <w:separator/>
      </w:r>
    </w:p>
  </w:footnote>
  <w:footnote w:type="continuationSeparator" w:id="0">
    <w:p w14:paraId="79C3DB53" w14:textId="77777777" w:rsidR="00AC4227" w:rsidRDefault="00AC4227" w:rsidP="000776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2D7D27" w14:textId="582B1247" w:rsidR="00077658" w:rsidRDefault="00077658">
    <w:pPr>
      <w:pStyle w:val="Header"/>
    </w:pPr>
    <w:r>
      <w:t>Immigration Court</w:t>
    </w:r>
    <w:r w:rsidR="001E1789">
      <w:t>: BIA</w:t>
    </w:r>
    <w:r>
      <w:ptab w:relativeTo="margin" w:alignment="center" w:leader="none"/>
    </w:r>
    <w:r w:rsidR="001E1789">
      <w:t>1999</w:t>
    </w:r>
    <w:r>
      <w:ptab w:relativeTo="margin" w:alignment="right" w:leader="none"/>
    </w:r>
    <w:r w:rsidR="001E1789">
      <w:t>Matter of Perez</w:t>
    </w:r>
  </w:p>
  <w:p w14:paraId="2626FDB6" w14:textId="36CC83BB" w:rsidR="00077658" w:rsidRDefault="001E1789" w:rsidP="00077658">
    <w:pPr>
      <w:pStyle w:val="Header"/>
      <w:jc w:val="right"/>
    </w:pPr>
    <w:r>
      <w:t>CANCELLATION OF REMOVAL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0D0730"/>
    <w:multiLevelType w:val="hybridMultilevel"/>
    <w:tmpl w:val="99C485CE"/>
    <w:lvl w:ilvl="0" w:tplc="B97AFBD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D52FB1"/>
    <w:multiLevelType w:val="hybridMultilevel"/>
    <w:tmpl w:val="DC10E22E"/>
    <w:lvl w:ilvl="0" w:tplc="0A3E407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D61785"/>
    <w:multiLevelType w:val="hybridMultilevel"/>
    <w:tmpl w:val="45EE1C62"/>
    <w:lvl w:ilvl="0" w:tplc="20F0F84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E847E6"/>
    <w:multiLevelType w:val="hybridMultilevel"/>
    <w:tmpl w:val="D0861D7C"/>
    <w:lvl w:ilvl="0" w:tplc="63182D8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658"/>
    <w:rsid w:val="00077658"/>
    <w:rsid w:val="001E1789"/>
    <w:rsid w:val="00237659"/>
    <w:rsid w:val="008D38E0"/>
    <w:rsid w:val="009B1135"/>
    <w:rsid w:val="009C47AB"/>
    <w:rsid w:val="00AC4227"/>
    <w:rsid w:val="00B13A5E"/>
    <w:rsid w:val="00B423AB"/>
    <w:rsid w:val="00C47E90"/>
    <w:rsid w:val="00C53371"/>
    <w:rsid w:val="00CE41B9"/>
    <w:rsid w:val="00DF7F24"/>
    <w:rsid w:val="00F33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7347D"/>
  <w15:docId w15:val="{A9CA61C8-EFFA-435A-ACD4-1DCA60763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E41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76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7658"/>
  </w:style>
  <w:style w:type="paragraph" w:styleId="Footer">
    <w:name w:val="footer"/>
    <w:basedOn w:val="Normal"/>
    <w:link w:val="FooterChar"/>
    <w:uiPriority w:val="99"/>
    <w:unhideWhenUsed/>
    <w:rsid w:val="000776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7658"/>
  </w:style>
  <w:style w:type="paragraph" w:styleId="BalloonText">
    <w:name w:val="Balloon Text"/>
    <w:basedOn w:val="Normal"/>
    <w:link w:val="BalloonTextChar"/>
    <w:uiPriority w:val="99"/>
    <w:semiHidden/>
    <w:unhideWhenUsed/>
    <w:rsid w:val="000776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65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17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325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 Britton</cp:lastModifiedBy>
  <cp:revision>2</cp:revision>
  <cp:lastPrinted>2019-11-18T21:18:00Z</cp:lastPrinted>
  <dcterms:created xsi:type="dcterms:W3CDTF">2019-11-18T21:24:00Z</dcterms:created>
  <dcterms:modified xsi:type="dcterms:W3CDTF">2019-11-18T21:24:00Z</dcterms:modified>
</cp:coreProperties>
</file>