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01AE16" w14:textId="027AC589" w:rsidR="00DF5468" w:rsidRPr="00DF5468" w:rsidRDefault="00DF5468" w:rsidP="00DF5468">
      <w:pPr>
        <w:jc w:val="center"/>
        <w:rPr>
          <w:rFonts w:ascii="Times New Roman" w:hAnsi="Times New Roman" w:cs="Times New Roman"/>
          <w:b/>
          <w:bCs/>
          <w:sz w:val="24"/>
          <w:szCs w:val="24"/>
        </w:rPr>
      </w:pPr>
      <w:bookmarkStart w:id="0" w:name="_GoBack"/>
      <w:bookmarkEnd w:id="0"/>
      <w:r w:rsidRPr="00DF5468">
        <w:rPr>
          <w:rFonts w:ascii="Times New Roman" w:hAnsi="Times New Roman" w:cs="Times New Roman"/>
          <w:b/>
          <w:bCs/>
          <w:sz w:val="24"/>
          <w:szCs w:val="24"/>
        </w:rPr>
        <w:t xml:space="preserve">Attorney General Quotes from </w:t>
      </w:r>
      <w:r w:rsidRPr="00DF5468">
        <w:rPr>
          <w:rFonts w:ascii="Times New Roman" w:hAnsi="Times New Roman" w:cs="Times New Roman"/>
          <w:b/>
          <w:bCs/>
          <w:i/>
          <w:iCs/>
          <w:sz w:val="24"/>
          <w:szCs w:val="24"/>
        </w:rPr>
        <w:t>Matter of L-E-A-</w:t>
      </w:r>
    </w:p>
    <w:p w14:paraId="75F9DBF9" w14:textId="77777777" w:rsidR="00DF5468" w:rsidRPr="00DF5468" w:rsidRDefault="00DF5468" w:rsidP="00DF5468">
      <w:pPr>
        <w:spacing w:after="0"/>
        <w:rPr>
          <w:rFonts w:ascii="Times New Roman" w:hAnsi="Times New Roman" w:cs="Times New Roman"/>
          <w:sz w:val="24"/>
          <w:szCs w:val="24"/>
        </w:rPr>
      </w:pPr>
      <w:r w:rsidRPr="00DF5468">
        <w:rPr>
          <w:rFonts w:ascii="Times New Roman" w:hAnsi="Times New Roman" w:cs="Times New Roman"/>
          <w:b/>
          <w:bCs/>
          <w:sz w:val="24"/>
          <w:szCs w:val="24"/>
        </w:rPr>
        <w:t>Discussion:</w:t>
      </w:r>
    </w:p>
    <w:p w14:paraId="0D78CA29" w14:textId="34BB4A7F" w:rsidR="00DF5468" w:rsidRPr="00DF5468" w:rsidRDefault="00DF5468" w:rsidP="00DF5468">
      <w:pPr>
        <w:pStyle w:val="ListParagraph"/>
        <w:numPr>
          <w:ilvl w:val="0"/>
          <w:numId w:val="1"/>
        </w:numPr>
        <w:spacing w:after="0"/>
        <w:rPr>
          <w:rFonts w:ascii="Times New Roman" w:hAnsi="Times New Roman" w:cs="Times New Roman"/>
          <w:sz w:val="24"/>
          <w:szCs w:val="24"/>
        </w:rPr>
      </w:pPr>
      <w:r w:rsidRPr="00DF5468">
        <w:rPr>
          <w:rFonts w:ascii="Times New Roman" w:hAnsi="Times New Roman" w:cs="Times New Roman"/>
          <w:sz w:val="24"/>
          <w:szCs w:val="24"/>
        </w:rPr>
        <w:t>“The fact that a criminal group—such as a drug cartel, gang, or guerilla force—targets a group of people does not, standing alone, transform those people into a particular social group.” (27 I&amp;N Dec.</w:t>
      </w:r>
      <w:r>
        <w:rPr>
          <w:rFonts w:ascii="Times New Roman" w:hAnsi="Times New Roman" w:cs="Times New Roman"/>
          <w:sz w:val="24"/>
          <w:szCs w:val="24"/>
        </w:rPr>
        <w:t xml:space="preserve"> at</w:t>
      </w:r>
      <w:r w:rsidRPr="00DF5468">
        <w:rPr>
          <w:rFonts w:ascii="Times New Roman" w:hAnsi="Times New Roman" w:cs="Times New Roman"/>
          <w:sz w:val="24"/>
          <w:szCs w:val="24"/>
        </w:rPr>
        <w:t xml:space="preserve"> 582)</w:t>
      </w:r>
    </w:p>
    <w:p w14:paraId="6DF02D2E" w14:textId="77777777" w:rsidR="00DF5468" w:rsidRPr="00DF5468" w:rsidRDefault="00DF5468" w:rsidP="00DF5468">
      <w:pPr>
        <w:pStyle w:val="ListParagraph"/>
        <w:spacing w:after="0"/>
        <w:rPr>
          <w:rFonts w:ascii="Times New Roman" w:hAnsi="Times New Roman" w:cs="Times New Roman"/>
          <w:sz w:val="24"/>
          <w:szCs w:val="24"/>
        </w:rPr>
      </w:pPr>
    </w:p>
    <w:p w14:paraId="4B745570" w14:textId="1E18280B" w:rsidR="00DF5468" w:rsidRPr="00DF5468" w:rsidRDefault="00DF5468" w:rsidP="00DF5468">
      <w:pPr>
        <w:pStyle w:val="ListParagraph"/>
        <w:numPr>
          <w:ilvl w:val="0"/>
          <w:numId w:val="1"/>
        </w:numPr>
        <w:spacing w:after="0"/>
        <w:rPr>
          <w:rFonts w:ascii="Times New Roman" w:hAnsi="Times New Roman" w:cs="Times New Roman"/>
          <w:sz w:val="24"/>
          <w:szCs w:val="24"/>
        </w:rPr>
      </w:pPr>
      <w:r w:rsidRPr="00DF5468">
        <w:rPr>
          <w:rFonts w:ascii="Times New Roman" w:hAnsi="Times New Roman" w:cs="Times New Roman"/>
          <w:sz w:val="24"/>
          <w:szCs w:val="24"/>
        </w:rPr>
        <w:t>“In the ordinary case, a family group will not meet that standard [of distinction], because it will not have the kind of identifying characteristics that render the family socially distinct within the society in question.” (27 I&amp;N Dec.</w:t>
      </w:r>
      <w:r>
        <w:rPr>
          <w:rFonts w:ascii="Times New Roman" w:hAnsi="Times New Roman" w:cs="Times New Roman"/>
          <w:sz w:val="24"/>
          <w:szCs w:val="24"/>
        </w:rPr>
        <w:t xml:space="preserve"> at</w:t>
      </w:r>
      <w:r w:rsidRPr="00DF5468">
        <w:rPr>
          <w:rFonts w:ascii="Times New Roman" w:hAnsi="Times New Roman" w:cs="Times New Roman"/>
          <w:sz w:val="24"/>
          <w:szCs w:val="24"/>
        </w:rPr>
        <w:t xml:space="preserve"> 586)</w:t>
      </w:r>
    </w:p>
    <w:p w14:paraId="48FE7644" w14:textId="77777777" w:rsidR="00DF5468" w:rsidRPr="00DF5468" w:rsidRDefault="00DF5468" w:rsidP="00DF5468">
      <w:pPr>
        <w:pStyle w:val="ListParagraph"/>
        <w:spacing w:after="0"/>
        <w:rPr>
          <w:rFonts w:ascii="Times New Roman" w:hAnsi="Times New Roman" w:cs="Times New Roman"/>
          <w:sz w:val="24"/>
          <w:szCs w:val="24"/>
        </w:rPr>
      </w:pPr>
    </w:p>
    <w:p w14:paraId="22C6AAF0" w14:textId="60720076" w:rsidR="00DF5468" w:rsidRPr="00DF5468" w:rsidRDefault="00DF5468" w:rsidP="00DF5468">
      <w:pPr>
        <w:pStyle w:val="ListParagraph"/>
        <w:numPr>
          <w:ilvl w:val="0"/>
          <w:numId w:val="1"/>
        </w:numPr>
        <w:spacing w:after="0"/>
        <w:rPr>
          <w:rFonts w:ascii="Times New Roman" w:hAnsi="Times New Roman" w:cs="Times New Roman"/>
          <w:sz w:val="24"/>
          <w:szCs w:val="24"/>
        </w:rPr>
      </w:pPr>
      <w:r w:rsidRPr="00DF5468">
        <w:rPr>
          <w:rFonts w:ascii="Times New Roman" w:hAnsi="Times New Roman" w:cs="Times New Roman"/>
          <w:sz w:val="24"/>
          <w:szCs w:val="24"/>
        </w:rPr>
        <w:t xml:space="preserve"> “Further, as almost every alien is a member of a family of some kind, categorically recognizing families as particular social groups would render virtually every alien a member of a particular social group.” (27 I&amp;N Dec.</w:t>
      </w:r>
      <w:r>
        <w:rPr>
          <w:rFonts w:ascii="Times New Roman" w:hAnsi="Times New Roman" w:cs="Times New Roman"/>
          <w:sz w:val="24"/>
          <w:szCs w:val="24"/>
        </w:rPr>
        <w:t xml:space="preserve"> at</w:t>
      </w:r>
      <w:r w:rsidRPr="00DF5468">
        <w:rPr>
          <w:rFonts w:ascii="Times New Roman" w:hAnsi="Times New Roman" w:cs="Times New Roman"/>
          <w:sz w:val="24"/>
          <w:szCs w:val="24"/>
        </w:rPr>
        <w:t xml:space="preserve"> 593)</w:t>
      </w:r>
    </w:p>
    <w:p w14:paraId="3A98841E" w14:textId="77777777" w:rsidR="00DF5468" w:rsidRPr="00DF5468" w:rsidRDefault="00DF5468" w:rsidP="00DF5468">
      <w:pPr>
        <w:spacing w:after="0"/>
        <w:rPr>
          <w:rFonts w:ascii="Times New Roman" w:hAnsi="Times New Roman" w:cs="Times New Roman"/>
          <w:sz w:val="24"/>
          <w:szCs w:val="24"/>
        </w:rPr>
      </w:pPr>
    </w:p>
    <w:p w14:paraId="08113EF4" w14:textId="39E8A95E" w:rsidR="00DF5468" w:rsidRDefault="00DF5468" w:rsidP="00DF5468">
      <w:pPr>
        <w:pStyle w:val="ListParagraph"/>
        <w:numPr>
          <w:ilvl w:val="0"/>
          <w:numId w:val="1"/>
        </w:numPr>
        <w:spacing w:after="0"/>
        <w:rPr>
          <w:rFonts w:ascii="Times New Roman" w:hAnsi="Times New Roman" w:cs="Times New Roman"/>
          <w:sz w:val="24"/>
          <w:szCs w:val="24"/>
        </w:rPr>
      </w:pPr>
      <w:r w:rsidRPr="00DF5468">
        <w:rPr>
          <w:rFonts w:ascii="Times New Roman" w:hAnsi="Times New Roman" w:cs="Times New Roman"/>
          <w:sz w:val="24"/>
          <w:szCs w:val="24"/>
        </w:rPr>
        <w:t>“If Congress intended for refugee status to turn on one’s suffering of persecution ‘on account of’ family membership, Congress would have included family identity as one of the expressly enumerated covered grounds for persecution.” (27 I&amp;N Dec.</w:t>
      </w:r>
      <w:r>
        <w:rPr>
          <w:rFonts w:ascii="Times New Roman" w:hAnsi="Times New Roman" w:cs="Times New Roman"/>
          <w:sz w:val="24"/>
          <w:szCs w:val="24"/>
        </w:rPr>
        <w:t xml:space="preserve"> at</w:t>
      </w:r>
      <w:r w:rsidRPr="00DF5468">
        <w:rPr>
          <w:rFonts w:ascii="Times New Roman" w:hAnsi="Times New Roman" w:cs="Times New Roman"/>
          <w:sz w:val="24"/>
          <w:szCs w:val="24"/>
        </w:rPr>
        <w:t xml:space="preserve"> 593)</w:t>
      </w:r>
    </w:p>
    <w:p w14:paraId="485CEEC5" w14:textId="77777777" w:rsidR="00DF5468" w:rsidRPr="00DF5468" w:rsidRDefault="00DF5468" w:rsidP="00DF5468">
      <w:pPr>
        <w:pStyle w:val="ListParagraph"/>
        <w:rPr>
          <w:rFonts w:ascii="Times New Roman" w:hAnsi="Times New Roman" w:cs="Times New Roman"/>
          <w:sz w:val="24"/>
          <w:szCs w:val="24"/>
        </w:rPr>
      </w:pPr>
    </w:p>
    <w:p w14:paraId="40C9B4E8" w14:textId="729EA8B3" w:rsidR="00E95F97" w:rsidRPr="00E95F97" w:rsidRDefault="00DF5468" w:rsidP="00E95F97">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“While many family relationships will be immutable, some family-based group definitions may be too vague or amorphous to meet the particularity requirement—i.e., where an applicant cannot show discernible boundaries to a group. </w:t>
      </w:r>
      <w:r>
        <w:rPr>
          <w:rFonts w:ascii="Times New Roman" w:hAnsi="Times New Roman" w:cs="Times New Roman"/>
          <w:i/>
          <w:iCs/>
          <w:sz w:val="24"/>
          <w:szCs w:val="24"/>
        </w:rPr>
        <w:t>See, e.g., S-E-G-</w:t>
      </w:r>
      <w:r>
        <w:rPr>
          <w:rFonts w:ascii="Times New Roman" w:hAnsi="Times New Roman" w:cs="Times New Roman"/>
          <w:sz w:val="24"/>
          <w:szCs w:val="24"/>
        </w:rPr>
        <w:t>, 24 I&amp;N Dec. at 585 (noting that the “proposed group of ‘family members,’ which could include fathers, mothers, siblings, uncles, aunts, nieces, nephews, grandparents, cousins, and others, is . . . too amorphous a category” to satisfy the particularity requirement.</w:t>
      </w:r>
      <w:r w:rsidR="00E95F97">
        <w:rPr>
          <w:rFonts w:ascii="Times New Roman" w:hAnsi="Times New Roman" w:cs="Times New Roman"/>
          <w:sz w:val="24"/>
          <w:szCs w:val="24"/>
        </w:rPr>
        <w:t>).” (</w:t>
      </w:r>
      <w:r w:rsidR="00E95F97" w:rsidRPr="00DF5468">
        <w:rPr>
          <w:rFonts w:ascii="Times New Roman" w:hAnsi="Times New Roman" w:cs="Times New Roman"/>
          <w:sz w:val="24"/>
          <w:szCs w:val="24"/>
        </w:rPr>
        <w:t>27 I&amp;N Dec.</w:t>
      </w:r>
      <w:r w:rsidR="00E95F97">
        <w:rPr>
          <w:rFonts w:ascii="Times New Roman" w:hAnsi="Times New Roman" w:cs="Times New Roman"/>
          <w:sz w:val="24"/>
          <w:szCs w:val="24"/>
        </w:rPr>
        <w:t xml:space="preserve"> at 593)</w:t>
      </w:r>
    </w:p>
    <w:p w14:paraId="64960BAF" w14:textId="77777777" w:rsidR="00E95F97" w:rsidRPr="00DF5468" w:rsidRDefault="00E95F97" w:rsidP="00DF5468">
      <w:pPr>
        <w:spacing w:after="0"/>
        <w:rPr>
          <w:rFonts w:ascii="Times New Roman" w:hAnsi="Times New Roman" w:cs="Times New Roman"/>
          <w:sz w:val="24"/>
          <w:szCs w:val="24"/>
        </w:rPr>
      </w:pPr>
    </w:p>
    <w:p w14:paraId="20783A63" w14:textId="642A544F" w:rsidR="00DF5468" w:rsidRPr="00DF5468" w:rsidRDefault="00DF5468" w:rsidP="00DF5468">
      <w:pPr>
        <w:pStyle w:val="ListParagraph"/>
        <w:numPr>
          <w:ilvl w:val="0"/>
          <w:numId w:val="1"/>
        </w:numPr>
        <w:spacing w:after="0"/>
        <w:rPr>
          <w:rFonts w:ascii="Times New Roman" w:hAnsi="Times New Roman" w:cs="Times New Roman"/>
          <w:sz w:val="24"/>
          <w:szCs w:val="24"/>
        </w:rPr>
      </w:pPr>
      <w:r w:rsidRPr="00DF5468">
        <w:rPr>
          <w:rFonts w:ascii="Times New Roman" w:hAnsi="Times New Roman" w:cs="Times New Roman"/>
          <w:sz w:val="24"/>
          <w:szCs w:val="24"/>
        </w:rPr>
        <w:t>“Asylum applicants generally seek to establish family-based groups as ‘particular social groups’ by raising one of two principal arguments.” (27 I&amp;N Dec.</w:t>
      </w:r>
      <w:r>
        <w:rPr>
          <w:rFonts w:ascii="Times New Roman" w:hAnsi="Times New Roman" w:cs="Times New Roman"/>
          <w:sz w:val="24"/>
          <w:szCs w:val="24"/>
        </w:rPr>
        <w:t xml:space="preserve"> at</w:t>
      </w:r>
      <w:r w:rsidRPr="00DF5468">
        <w:rPr>
          <w:rFonts w:ascii="Times New Roman" w:hAnsi="Times New Roman" w:cs="Times New Roman"/>
          <w:sz w:val="24"/>
          <w:szCs w:val="24"/>
        </w:rPr>
        <w:t xml:space="preserve"> 594)</w:t>
      </w:r>
    </w:p>
    <w:p w14:paraId="3F64BDFC" w14:textId="77777777" w:rsidR="00DF5468" w:rsidRPr="00DF5468" w:rsidRDefault="00DF5468" w:rsidP="00DF5468">
      <w:pPr>
        <w:pStyle w:val="ListParagraph"/>
        <w:numPr>
          <w:ilvl w:val="1"/>
          <w:numId w:val="1"/>
        </w:numPr>
        <w:spacing w:after="0"/>
        <w:rPr>
          <w:rFonts w:ascii="Times New Roman" w:hAnsi="Times New Roman" w:cs="Times New Roman"/>
          <w:sz w:val="24"/>
          <w:szCs w:val="24"/>
        </w:rPr>
      </w:pPr>
      <w:r w:rsidRPr="00DF5468">
        <w:rPr>
          <w:rFonts w:ascii="Times New Roman" w:hAnsi="Times New Roman" w:cs="Times New Roman"/>
          <w:sz w:val="24"/>
          <w:szCs w:val="24"/>
        </w:rPr>
        <w:t>Specific family unit = PSG</w:t>
      </w:r>
    </w:p>
    <w:p w14:paraId="16D9341B" w14:textId="46F13A9B" w:rsidR="00DF5468" w:rsidRPr="00DF5468" w:rsidRDefault="00DF5468" w:rsidP="00DF5468">
      <w:pPr>
        <w:pStyle w:val="ListParagraph"/>
        <w:numPr>
          <w:ilvl w:val="2"/>
          <w:numId w:val="1"/>
        </w:numPr>
        <w:spacing w:after="0"/>
        <w:rPr>
          <w:rFonts w:ascii="Times New Roman" w:hAnsi="Times New Roman" w:cs="Times New Roman"/>
          <w:sz w:val="24"/>
          <w:szCs w:val="24"/>
        </w:rPr>
      </w:pPr>
      <w:r w:rsidRPr="00DF5468">
        <w:rPr>
          <w:rFonts w:ascii="Times New Roman" w:hAnsi="Times New Roman" w:cs="Times New Roman"/>
          <w:b/>
          <w:bCs/>
          <w:sz w:val="24"/>
          <w:szCs w:val="24"/>
        </w:rPr>
        <w:t xml:space="preserve">“But to qualify under the statute and Board precedent, when an applicant proposes a group composed of a specific family unit, he must show that his proposed group has some greater meaning in society.” </w:t>
      </w:r>
      <w:r w:rsidRPr="00DF5468">
        <w:rPr>
          <w:rFonts w:ascii="Times New Roman" w:hAnsi="Times New Roman" w:cs="Times New Roman"/>
          <w:sz w:val="24"/>
          <w:szCs w:val="24"/>
        </w:rPr>
        <w:t>(27 I&amp;N Dec.</w:t>
      </w:r>
      <w:r>
        <w:rPr>
          <w:rFonts w:ascii="Times New Roman" w:hAnsi="Times New Roman" w:cs="Times New Roman"/>
          <w:sz w:val="24"/>
          <w:szCs w:val="24"/>
        </w:rPr>
        <w:t xml:space="preserve"> at</w:t>
      </w:r>
      <w:r w:rsidRPr="00DF5468">
        <w:rPr>
          <w:rFonts w:ascii="Times New Roman" w:hAnsi="Times New Roman" w:cs="Times New Roman"/>
          <w:sz w:val="24"/>
          <w:szCs w:val="24"/>
        </w:rPr>
        <w:t xml:space="preserve"> 594) (not ambiguous at all!)</w:t>
      </w:r>
    </w:p>
    <w:p w14:paraId="25B0B532" w14:textId="77777777" w:rsidR="00DF5468" w:rsidRPr="00DF5468" w:rsidRDefault="00DF5468" w:rsidP="00DF5468">
      <w:pPr>
        <w:pStyle w:val="ListParagraph"/>
        <w:numPr>
          <w:ilvl w:val="1"/>
          <w:numId w:val="1"/>
        </w:numPr>
        <w:spacing w:after="0"/>
        <w:rPr>
          <w:rFonts w:ascii="Times New Roman" w:hAnsi="Times New Roman" w:cs="Times New Roman"/>
          <w:sz w:val="24"/>
          <w:szCs w:val="24"/>
        </w:rPr>
      </w:pPr>
      <w:r w:rsidRPr="00DF5468">
        <w:rPr>
          <w:rFonts w:ascii="Times New Roman" w:hAnsi="Times New Roman" w:cs="Times New Roman"/>
          <w:sz w:val="24"/>
          <w:szCs w:val="24"/>
        </w:rPr>
        <w:t>Collection of familial relatives with a particular characteristic</w:t>
      </w:r>
    </w:p>
    <w:p w14:paraId="0723FA49" w14:textId="77777777" w:rsidR="00DF5468" w:rsidRPr="00DF5468" w:rsidRDefault="00DF5468" w:rsidP="00DF5468">
      <w:pPr>
        <w:pStyle w:val="ListParagraph"/>
        <w:numPr>
          <w:ilvl w:val="2"/>
          <w:numId w:val="1"/>
        </w:numPr>
        <w:spacing w:after="0"/>
        <w:rPr>
          <w:rFonts w:ascii="Times New Roman" w:hAnsi="Times New Roman" w:cs="Times New Roman"/>
          <w:sz w:val="24"/>
          <w:szCs w:val="24"/>
        </w:rPr>
      </w:pPr>
      <w:r w:rsidRPr="00DF5468">
        <w:rPr>
          <w:rFonts w:ascii="Times New Roman" w:hAnsi="Times New Roman" w:cs="Times New Roman"/>
          <w:sz w:val="24"/>
          <w:szCs w:val="24"/>
        </w:rPr>
        <w:t>E.g., family members of persons who have been killed by gangs, etc.</w:t>
      </w:r>
    </w:p>
    <w:p w14:paraId="0A458210" w14:textId="7687DE3F" w:rsidR="00DF5468" w:rsidRPr="00DF5468" w:rsidRDefault="00DF5468" w:rsidP="00DF5468">
      <w:pPr>
        <w:pStyle w:val="ListParagraph"/>
        <w:numPr>
          <w:ilvl w:val="2"/>
          <w:numId w:val="1"/>
        </w:numPr>
        <w:spacing w:after="0"/>
        <w:rPr>
          <w:rFonts w:ascii="Times New Roman" w:hAnsi="Times New Roman" w:cs="Times New Roman"/>
          <w:sz w:val="24"/>
          <w:szCs w:val="24"/>
        </w:rPr>
      </w:pPr>
      <w:r w:rsidRPr="00DF5468">
        <w:rPr>
          <w:rFonts w:ascii="Times New Roman" w:hAnsi="Times New Roman" w:cs="Times New Roman"/>
          <w:sz w:val="24"/>
          <w:szCs w:val="24"/>
        </w:rPr>
        <w:t xml:space="preserve">“This is a common approach </w:t>
      </w:r>
      <w:r>
        <w:rPr>
          <w:rFonts w:ascii="Times New Roman" w:hAnsi="Times New Roman" w:cs="Times New Roman"/>
          <w:sz w:val="24"/>
          <w:szCs w:val="24"/>
        </w:rPr>
        <w:t>in</w:t>
      </w:r>
      <w:r w:rsidRPr="00DF5468">
        <w:rPr>
          <w:rFonts w:ascii="Times New Roman" w:hAnsi="Times New Roman" w:cs="Times New Roman"/>
          <w:sz w:val="24"/>
          <w:szCs w:val="24"/>
        </w:rPr>
        <w:t xml:space="preserve"> asylum cases concerning gang violence.” (27 I&amp;N Dec.</w:t>
      </w:r>
      <w:r>
        <w:rPr>
          <w:rFonts w:ascii="Times New Roman" w:hAnsi="Times New Roman" w:cs="Times New Roman"/>
          <w:sz w:val="24"/>
          <w:szCs w:val="24"/>
        </w:rPr>
        <w:t xml:space="preserve"> at</w:t>
      </w:r>
      <w:r w:rsidRPr="00DF5468">
        <w:rPr>
          <w:rFonts w:ascii="Times New Roman" w:hAnsi="Times New Roman" w:cs="Times New Roman"/>
          <w:sz w:val="24"/>
          <w:szCs w:val="24"/>
        </w:rPr>
        <w:t xml:space="preserve"> 595) (This reads like an adjudicator/litigator handbook!)</w:t>
      </w:r>
    </w:p>
    <w:p w14:paraId="279B547D" w14:textId="77777777" w:rsidR="00DF5468" w:rsidRPr="00DF5468" w:rsidRDefault="00DF5468" w:rsidP="00DF5468">
      <w:pPr>
        <w:pStyle w:val="ListParagraph"/>
        <w:spacing w:after="0"/>
        <w:ind w:left="2160"/>
        <w:rPr>
          <w:rFonts w:ascii="Times New Roman" w:hAnsi="Times New Roman" w:cs="Times New Roman"/>
          <w:sz w:val="24"/>
          <w:szCs w:val="24"/>
        </w:rPr>
      </w:pPr>
    </w:p>
    <w:p w14:paraId="480AAF4A" w14:textId="51E74AF4" w:rsidR="00DF5468" w:rsidRDefault="00DF5468" w:rsidP="00DF5468">
      <w:pPr>
        <w:pStyle w:val="ListParagraph"/>
        <w:numPr>
          <w:ilvl w:val="0"/>
          <w:numId w:val="1"/>
        </w:numPr>
        <w:spacing w:after="0"/>
        <w:rPr>
          <w:rFonts w:ascii="Times New Roman" w:hAnsi="Times New Roman" w:cs="Times New Roman"/>
          <w:sz w:val="24"/>
          <w:szCs w:val="24"/>
        </w:rPr>
      </w:pPr>
      <w:r w:rsidRPr="00DF5468">
        <w:rPr>
          <w:rFonts w:ascii="Times New Roman" w:hAnsi="Times New Roman" w:cs="Times New Roman"/>
          <w:sz w:val="24"/>
          <w:szCs w:val="24"/>
        </w:rPr>
        <w:t xml:space="preserve"> “This opinion does not bar all family-based social groups from qualifying for asylum. To the contrary, in some societies, an applicant may present specific kinship groups or clans that, based on the evidence in the applicant’s case, are particular and socially distinct.” (27 I&amp;N Dec.</w:t>
      </w:r>
      <w:r>
        <w:rPr>
          <w:rFonts w:ascii="Times New Roman" w:hAnsi="Times New Roman" w:cs="Times New Roman"/>
          <w:sz w:val="24"/>
          <w:szCs w:val="24"/>
        </w:rPr>
        <w:t xml:space="preserve"> at</w:t>
      </w:r>
      <w:r w:rsidRPr="00DF5468">
        <w:rPr>
          <w:rFonts w:ascii="Times New Roman" w:hAnsi="Times New Roman" w:cs="Times New Roman"/>
          <w:sz w:val="24"/>
          <w:szCs w:val="24"/>
        </w:rPr>
        <w:t xml:space="preserve"> 595)</w:t>
      </w:r>
    </w:p>
    <w:p w14:paraId="0FC4031B" w14:textId="77777777" w:rsidR="00E95F97" w:rsidRDefault="00E95F97" w:rsidP="00E95F97">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lastRenderedPageBreak/>
        <w:t>Quote from WRG:</w:t>
      </w:r>
    </w:p>
    <w:p w14:paraId="6DB7D11D" w14:textId="77777777" w:rsidR="00E95F97" w:rsidRPr="00715A1C" w:rsidRDefault="00E95F97" w:rsidP="00E95F97">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“To have the ‘social distinction’ necessary to establish a particular social group there must be evidence showing that society in general perceives, considers, or recognizes persons sharing the particular characteristics to be a group.” </w:t>
      </w:r>
      <w:r>
        <w:rPr>
          <w:rFonts w:ascii="Times New Roman" w:hAnsi="Times New Roman" w:cs="Times New Roman"/>
          <w:i/>
          <w:iCs/>
          <w:sz w:val="24"/>
          <w:szCs w:val="24"/>
        </w:rPr>
        <w:t>W-G-R-</w:t>
      </w:r>
      <w:r>
        <w:rPr>
          <w:rFonts w:ascii="Times New Roman" w:hAnsi="Times New Roman" w:cs="Times New Roman"/>
          <w:sz w:val="24"/>
          <w:szCs w:val="24"/>
        </w:rPr>
        <w:t>, 26 I&amp;N Dec. 208 at 217 (BIA 2014)</w:t>
      </w:r>
    </w:p>
    <w:p w14:paraId="3FDE291D" w14:textId="77777777" w:rsidR="00E95F97" w:rsidRDefault="00E95F97" w:rsidP="00E95F97">
      <w:pPr>
        <w:pStyle w:val="ListParagraph"/>
        <w:ind w:left="1440"/>
        <w:rPr>
          <w:rFonts w:ascii="Times New Roman" w:hAnsi="Times New Roman" w:cs="Times New Roman"/>
          <w:sz w:val="24"/>
          <w:szCs w:val="24"/>
        </w:rPr>
      </w:pPr>
    </w:p>
    <w:p w14:paraId="3133559F" w14:textId="77777777" w:rsidR="00E95F97" w:rsidRPr="00E95F97" w:rsidRDefault="00E95F97" w:rsidP="00E95F97">
      <w:pPr>
        <w:spacing w:after="0"/>
        <w:rPr>
          <w:rFonts w:ascii="Times New Roman" w:hAnsi="Times New Roman" w:cs="Times New Roman"/>
          <w:sz w:val="24"/>
          <w:szCs w:val="24"/>
        </w:rPr>
      </w:pPr>
    </w:p>
    <w:p w14:paraId="5CF38A04" w14:textId="77777777" w:rsidR="00DF5468" w:rsidRPr="00DF5468" w:rsidRDefault="00DF5468" w:rsidP="00DF5468">
      <w:pPr>
        <w:spacing w:after="0"/>
        <w:rPr>
          <w:rFonts w:ascii="Times New Roman" w:hAnsi="Times New Roman" w:cs="Times New Roman"/>
          <w:sz w:val="24"/>
          <w:szCs w:val="24"/>
        </w:rPr>
      </w:pPr>
    </w:p>
    <w:p w14:paraId="3AF8CDBF" w14:textId="77777777" w:rsidR="00DF5468" w:rsidRPr="00DF5468" w:rsidRDefault="00DF5468" w:rsidP="00DF5468">
      <w:pPr>
        <w:rPr>
          <w:rFonts w:ascii="Times New Roman" w:hAnsi="Times New Roman" w:cs="Times New Roman"/>
          <w:b/>
          <w:bCs/>
          <w:sz w:val="24"/>
          <w:szCs w:val="24"/>
        </w:rPr>
      </w:pPr>
    </w:p>
    <w:sectPr w:rsidR="00DF5468" w:rsidRPr="00DF54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421626"/>
    <w:multiLevelType w:val="hybridMultilevel"/>
    <w:tmpl w:val="2C16A942"/>
    <w:lvl w:ilvl="0" w:tplc="0568BEDA">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115DE7"/>
    <w:multiLevelType w:val="hybridMultilevel"/>
    <w:tmpl w:val="A6E0480E"/>
    <w:lvl w:ilvl="0" w:tplc="F4028D64">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468"/>
    <w:rsid w:val="00A1772B"/>
    <w:rsid w:val="00DF5468"/>
    <w:rsid w:val="00E95F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D32A5"/>
  <w15:chartTrackingRefBased/>
  <w15:docId w15:val="{295C6845-4C2E-40CF-889E-A60B38785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54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424</Words>
  <Characters>2417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dc:creator>
  <cp:keywords/>
  <dc:description/>
  <cp:lastModifiedBy>Paige Britton</cp:lastModifiedBy>
  <cp:revision>2</cp:revision>
  <dcterms:created xsi:type="dcterms:W3CDTF">2019-11-26T00:17:00Z</dcterms:created>
  <dcterms:modified xsi:type="dcterms:W3CDTF">2019-11-26T00:17:00Z</dcterms:modified>
</cp:coreProperties>
</file>