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06D540" w14:textId="7962A14D" w:rsidR="002B7620" w:rsidRDefault="002B7620" w:rsidP="002B7620">
      <w:pPr>
        <w:jc w:val="center"/>
        <w:rPr>
          <w:rFonts w:ascii="Times New Roman" w:hAnsi="Times New Roman" w:cs="Times New Roman"/>
          <w:b/>
          <w:smallCaps/>
        </w:rPr>
      </w:pPr>
      <w:r>
        <w:rPr>
          <w:rFonts w:ascii="Times New Roman" w:hAnsi="Times New Roman" w:cs="Times New Roman"/>
          <w:b/>
          <w:smallCaps/>
        </w:rPr>
        <w:t xml:space="preserve">List of </w:t>
      </w:r>
      <w:r>
        <w:rPr>
          <w:rFonts w:ascii="Times New Roman" w:hAnsi="Times New Roman" w:cs="Times New Roman"/>
          <w:b/>
        </w:rPr>
        <w:t>L</w:t>
      </w:r>
      <w:r>
        <w:rPr>
          <w:rFonts w:ascii="Times New Roman" w:hAnsi="Times New Roman" w:cs="Times New Roman"/>
          <w:b/>
          <w:smallCaps/>
        </w:rPr>
        <w:t>egal Arguments</w:t>
      </w:r>
      <w:r w:rsidR="00D35A96">
        <w:rPr>
          <w:rFonts w:ascii="Times New Roman" w:hAnsi="Times New Roman" w:cs="Times New Roman"/>
          <w:b/>
          <w:smallCaps/>
        </w:rPr>
        <w:t xml:space="preserve"> for BIA Appeal</w:t>
      </w:r>
    </w:p>
    <w:p w14:paraId="57D2F9C3" w14:textId="77777777" w:rsidR="007E1101" w:rsidRPr="002B7620" w:rsidRDefault="007E1101" w:rsidP="002B7620">
      <w:pPr>
        <w:jc w:val="center"/>
        <w:rPr>
          <w:rFonts w:ascii="Times New Roman" w:hAnsi="Times New Roman" w:cs="Times New Roman"/>
          <w:b/>
          <w:smallCaps/>
        </w:rPr>
      </w:pPr>
    </w:p>
    <w:p w14:paraId="132FC3B5" w14:textId="37285DC7" w:rsidR="002B7620" w:rsidRDefault="007E1101" w:rsidP="002B7620">
      <w:pPr>
        <w:jc w:val="center"/>
        <w:rPr>
          <w:rFonts w:ascii="Times New Roman" w:hAnsi="Times New Roman" w:cs="Times New Roman"/>
        </w:rPr>
      </w:pPr>
      <w:r>
        <w:rPr>
          <w:rFonts w:ascii="Times New Roman" w:hAnsi="Times New Roman" w:cs="Times New Roman"/>
          <w:b/>
        </w:rPr>
        <w:t xml:space="preserve">Response to </w:t>
      </w:r>
      <w:r w:rsidR="002B7620">
        <w:rPr>
          <w:rFonts w:ascii="Times New Roman" w:hAnsi="Times New Roman" w:cs="Times New Roman"/>
          <w:b/>
        </w:rPr>
        <w:t xml:space="preserve">DHS-ICE Notice of Appeal </w:t>
      </w:r>
      <w:r>
        <w:rPr>
          <w:rFonts w:ascii="Times New Roman" w:hAnsi="Times New Roman" w:cs="Times New Roman"/>
          <w:b/>
        </w:rPr>
        <w:t>(</w:t>
      </w:r>
      <w:r w:rsidR="002B7620">
        <w:rPr>
          <w:rFonts w:ascii="Times New Roman" w:hAnsi="Times New Roman" w:cs="Times New Roman"/>
          <w:b/>
        </w:rPr>
        <w:t>9.6.2019</w:t>
      </w:r>
      <w:r>
        <w:rPr>
          <w:rFonts w:ascii="Times New Roman" w:hAnsi="Times New Roman" w:cs="Times New Roman"/>
          <w:b/>
        </w:rPr>
        <w:t>)</w:t>
      </w:r>
    </w:p>
    <w:p w14:paraId="2A73A6DC" w14:textId="77777777" w:rsidR="002B7620" w:rsidRDefault="002B7620" w:rsidP="002B7620">
      <w:pPr>
        <w:rPr>
          <w:rFonts w:ascii="Times New Roman" w:hAnsi="Times New Roman" w:cs="Times New Roman"/>
        </w:rPr>
      </w:pPr>
    </w:p>
    <w:p w14:paraId="31D510ED" w14:textId="77777777" w:rsidR="002B7620" w:rsidRPr="002B7620" w:rsidRDefault="002B7620" w:rsidP="002B7620">
      <w:pPr>
        <w:pStyle w:val="ListParagraph"/>
        <w:numPr>
          <w:ilvl w:val="0"/>
          <w:numId w:val="2"/>
        </w:numPr>
        <w:rPr>
          <w:rFonts w:ascii="Times New Roman" w:hAnsi="Times New Roman" w:cs="Times New Roman"/>
        </w:rPr>
      </w:pPr>
      <w:r>
        <w:rPr>
          <w:rFonts w:ascii="Times New Roman" w:hAnsi="Times New Roman" w:cs="Times New Roman"/>
          <w:b/>
        </w:rPr>
        <w:t xml:space="preserve">Family as PSG </w:t>
      </w:r>
      <w:r>
        <w:rPr>
          <w:rFonts w:ascii="Times New Roman" w:hAnsi="Times New Roman" w:cs="Times New Roman"/>
        </w:rPr>
        <w:t>(1, 2-3)</w:t>
      </w:r>
    </w:p>
    <w:p w14:paraId="55F7271E" w14:textId="77777777" w:rsidR="002B7620" w:rsidRDefault="002B7620" w:rsidP="002B7620">
      <w:pPr>
        <w:pStyle w:val="ListParagraph"/>
        <w:numPr>
          <w:ilvl w:val="0"/>
          <w:numId w:val="1"/>
        </w:numPr>
        <w:rPr>
          <w:rFonts w:ascii="Times New Roman" w:hAnsi="Times New Roman" w:cs="Times New Roman"/>
        </w:rPr>
      </w:pPr>
      <w:r w:rsidRPr="002B7620">
        <w:rPr>
          <w:rFonts w:ascii="Times New Roman" w:hAnsi="Times New Roman" w:cs="Times New Roman"/>
        </w:rPr>
        <w:t>"The IJ erred in finding that the respondent met her burden of showing that 'family' is a cognizable social group, especially as the IJ ignored the binding precedent issued by the Attorney General four days before her decision." (1)</w:t>
      </w:r>
    </w:p>
    <w:p w14:paraId="05A48DA2"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rPr>
        <w:t>IJ decision: Aug. 2, 2019</w:t>
      </w:r>
    </w:p>
    <w:p w14:paraId="14DA2A44"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rPr>
        <w:t>AG decision: July 29, 2019</w:t>
      </w:r>
    </w:p>
    <w:p w14:paraId="10941ED7"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b/>
        </w:rPr>
        <w:t xml:space="preserve">“The respondent failed to meet her burden of showing that her specific family is </w:t>
      </w:r>
      <w:r w:rsidRPr="002B7620">
        <w:rPr>
          <w:rFonts w:ascii="Times New Roman" w:hAnsi="Times New Roman" w:cs="Times New Roman"/>
          <w:b/>
          <w:color w:val="FF0000"/>
        </w:rPr>
        <w:t>distinct in El Salvadoran society</w:t>
      </w:r>
      <w:r>
        <w:rPr>
          <w:rFonts w:ascii="Times New Roman" w:hAnsi="Times New Roman" w:cs="Times New Roman"/>
          <w:b/>
        </w:rPr>
        <w:t xml:space="preserve">.” </w:t>
      </w:r>
      <w:r>
        <w:rPr>
          <w:rFonts w:ascii="Times New Roman" w:hAnsi="Times New Roman" w:cs="Times New Roman"/>
        </w:rPr>
        <w:t>(2)</w:t>
      </w:r>
    </w:p>
    <w:p w14:paraId="1D6FD10F"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b/>
        </w:rPr>
        <w:t xml:space="preserve">“The respondent has not shown that her family is </w:t>
      </w:r>
      <w:r w:rsidRPr="002B7620">
        <w:rPr>
          <w:rFonts w:ascii="Times New Roman" w:hAnsi="Times New Roman" w:cs="Times New Roman"/>
          <w:b/>
          <w:color w:val="FF0000"/>
        </w:rPr>
        <w:t>set apart, distinct, or recognizable within El Salvadoran society</w:t>
      </w:r>
      <w:r>
        <w:rPr>
          <w:rFonts w:ascii="Times New Roman" w:hAnsi="Times New Roman" w:cs="Times New Roman"/>
          <w:b/>
        </w:rPr>
        <w:t xml:space="preserve">.” </w:t>
      </w:r>
      <w:r>
        <w:rPr>
          <w:rFonts w:ascii="Times New Roman" w:hAnsi="Times New Roman" w:cs="Times New Roman"/>
        </w:rPr>
        <w:t>(2)</w:t>
      </w:r>
    </w:p>
    <w:p w14:paraId="65B3F3B4"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rPr>
        <w:t xml:space="preserve">From </w:t>
      </w:r>
      <w:r>
        <w:rPr>
          <w:rFonts w:ascii="Times New Roman" w:hAnsi="Times New Roman" w:cs="Times New Roman"/>
          <w:i/>
        </w:rPr>
        <w:t>L-E-A-</w:t>
      </w:r>
      <w:r>
        <w:rPr>
          <w:rFonts w:ascii="Times New Roman" w:hAnsi="Times New Roman" w:cs="Times New Roman"/>
        </w:rPr>
        <w:t>: “</w:t>
      </w:r>
      <w:r w:rsidRPr="002B7620">
        <w:rPr>
          <w:rFonts w:ascii="Times New Roman" w:hAnsi="Times New Roman" w:cs="Times New Roman"/>
          <w:color w:val="FF0000"/>
        </w:rPr>
        <w:t>some greater meaning in society</w:t>
      </w:r>
      <w:r>
        <w:rPr>
          <w:rFonts w:ascii="Times New Roman" w:hAnsi="Times New Roman" w:cs="Times New Roman"/>
        </w:rPr>
        <w:t>” (594)</w:t>
      </w:r>
    </w:p>
    <w:p w14:paraId="439936A1" w14:textId="77777777" w:rsidR="002B7620" w:rsidRDefault="002B7620" w:rsidP="002B7620">
      <w:pPr>
        <w:pStyle w:val="ListParagraph"/>
        <w:numPr>
          <w:ilvl w:val="2"/>
          <w:numId w:val="1"/>
        </w:numPr>
        <w:rPr>
          <w:rFonts w:ascii="Times New Roman" w:hAnsi="Times New Roman" w:cs="Times New Roman"/>
        </w:rPr>
      </w:pPr>
      <w:r>
        <w:rPr>
          <w:rFonts w:ascii="Times New Roman" w:hAnsi="Times New Roman" w:cs="Times New Roman"/>
        </w:rPr>
        <w:t>Is particular family “</w:t>
      </w:r>
      <w:r w:rsidRPr="002B7620">
        <w:rPr>
          <w:rFonts w:ascii="Times New Roman" w:hAnsi="Times New Roman" w:cs="Times New Roman"/>
          <w:color w:val="FF0000"/>
        </w:rPr>
        <w:t>recognizable by society at large</w:t>
      </w:r>
      <w:r>
        <w:rPr>
          <w:rFonts w:ascii="Times New Roman" w:hAnsi="Times New Roman" w:cs="Times New Roman"/>
        </w:rPr>
        <w:t>”? (594)</w:t>
      </w:r>
    </w:p>
    <w:p w14:paraId="67D18A17"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b/>
        </w:rPr>
        <w:t xml:space="preserve">“The respondent presented no evidence that society recognizes her family or reacts to it in any way that makes it </w:t>
      </w:r>
      <w:r w:rsidRPr="002B7620">
        <w:rPr>
          <w:rFonts w:ascii="Times New Roman" w:hAnsi="Times New Roman" w:cs="Times New Roman"/>
          <w:b/>
          <w:color w:val="FF0000"/>
        </w:rPr>
        <w:t>distinct or identifiable as a group</w:t>
      </w:r>
      <w:r>
        <w:rPr>
          <w:rFonts w:ascii="Times New Roman" w:hAnsi="Times New Roman" w:cs="Times New Roman"/>
          <w:b/>
        </w:rPr>
        <w:t xml:space="preserve">.” </w:t>
      </w:r>
      <w:r>
        <w:rPr>
          <w:rFonts w:ascii="Times New Roman" w:hAnsi="Times New Roman" w:cs="Times New Roman"/>
        </w:rPr>
        <w:t>(2)</w:t>
      </w:r>
    </w:p>
    <w:p w14:paraId="6CAB78C2"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b/>
        </w:rPr>
        <w:t>“…</w:t>
      </w:r>
      <w:r w:rsidRPr="002B7620">
        <w:rPr>
          <w:rFonts w:ascii="Times New Roman" w:hAnsi="Times New Roman" w:cs="Times New Roman"/>
          <w:b/>
          <w:color w:val="00B050"/>
        </w:rPr>
        <w:t>her family is not a distinct group in society</w:t>
      </w:r>
      <w:r>
        <w:rPr>
          <w:rFonts w:ascii="Times New Roman" w:hAnsi="Times New Roman" w:cs="Times New Roman"/>
          <w:b/>
        </w:rPr>
        <w:t xml:space="preserve">, but rather some members of her family are victims of a single abuser in highly individualized circumstances.” </w:t>
      </w:r>
      <w:r>
        <w:rPr>
          <w:rFonts w:ascii="Times New Roman" w:hAnsi="Times New Roman" w:cs="Times New Roman"/>
        </w:rPr>
        <w:t xml:space="preserve"> (2)</w:t>
      </w:r>
    </w:p>
    <w:p w14:paraId="0944939B" w14:textId="77777777" w:rsidR="002B7620" w:rsidRP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b/>
          <w:color w:val="0070C0"/>
          <w:u w:val="single"/>
        </w:rPr>
        <w:t>NOTES:</w:t>
      </w:r>
    </w:p>
    <w:p w14:paraId="26DF4ECB"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ICE attorney’s final words (in green) pronounce a judgment that isn’t supported one way or another yet by the record.</w:t>
      </w:r>
    </w:p>
    <w:p w14:paraId="5FDE7F09" w14:textId="77777777" w:rsidR="002B7620" w:rsidRPr="002B7620" w:rsidRDefault="002B7620" w:rsidP="002B7620">
      <w:pPr>
        <w:pStyle w:val="ListParagraph"/>
        <w:ind w:left="1440"/>
        <w:rPr>
          <w:rFonts w:ascii="Times New Roman" w:hAnsi="Times New Roman" w:cs="Times New Roman"/>
        </w:rPr>
      </w:pPr>
    </w:p>
    <w:p w14:paraId="75BC6C6F"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 xml:space="preserve">AG’s definition of “distinct” in </w:t>
      </w:r>
      <w:r>
        <w:rPr>
          <w:rFonts w:ascii="Times New Roman" w:hAnsi="Times New Roman" w:cs="Times New Roman"/>
          <w:i/>
          <w:color w:val="0070C0"/>
        </w:rPr>
        <w:t xml:space="preserve">L-E-A- </w:t>
      </w:r>
      <w:r>
        <w:rPr>
          <w:rFonts w:ascii="Times New Roman" w:hAnsi="Times New Roman" w:cs="Times New Roman"/>
          <w:color w:val="0070C0"/>
        </w:rPr>
        <w:t xml:space="preserve">is </w:t>
      </w:r>
      <w:proofErr w:type="gramStart"/>
      <w:r>
        <w:rPr>
          <w:rFonts w:ascii="Times New Roman" w:hAnsi="Times New Roman" w:cs="Times New Roman"/>
          <w:color w:val="0070C0"/>
        </w:rPr>
        <w:t>ambiguous, and</w:t>
      </w:r>
      <w:proofErr w:type="gramEnd"/>
      <w:r>
        <w:rPr>
          <w:rFonts w:ascii="Times New Roman" w:hAnsi="Times New Roman" w:cs="Times New Roman"/>
          <w:color w:val="0070C0"/>
        </w:rPr>
        <w:t xml:space="preserve"> seems to imply that a family would only be “distinct” if it were famous or notorious throughout an entire country. (Will get you more details on that decision soon.)</w:t>
      </w:r>
    </w:p>
    <w:p w14:paraId="5898DB4E" w14:textId="77777777" w:rsidR="002B7620" w:rsidRPr="002B7620" w:rsidRDefault="002B7620" w:rsidP="002B7620">
      <w:pPr>
        <w:rPr>
          <w:rFonts w:ascii="Times New Roman" w:hAnsi="Times New Roman" w:cs="Times New Roman"/>
        </w:rPr>
      </w:pPr>
    </w:p>
    <w:p w14:paraId="7B221846"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 xml:space="preserve">The respondent COULDN’T have presented evidence refuting </w:t>
      </w:r>
      <w:r>
        <w:rPr>
          <w:rFonts w:ascii="Times New Roman" w:hAnsi="Times New Roman" w:cs="Times New Roman"/>
          <w:i/>
          <w:color w:val="0070C0"/>
        </w:rPr>
        <w:t>L-E-A-</w:t>
      </w:r>
      <w:r>
        <w:rPr>
          <w:rFonts w:ascii="Times New Roman" w:hAnsi="Times New Roman" w:cs="Times New Roman"/>
          <w:color w:val="0070C0"/>
        </w:rPr>
        <w:t>, or rising to its heightened standard for PSG, if that decision only came out four days before this hearing.</w:t>
      </w:r>
    </w:p>
    <w:p w14:paraId="660A2692" w14:textId="77777777" w:rsidR="002B7620" w:rsidRPr="002B7620" w:rsidRDefault="002B7620" w:rsidP="002B7620">
      <w:pPr>
        <w:rPr>
          <w:rFonts w:ascii="Times New Roman" w:hAnsi="Times New Roman" w:cs="Times New Roman"/>
        </w:rPr>
      </w:pPr>
    </w:p>
    <w:p w14:paraId="2E7693AB"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 xml:space="preserve">Despite the AG’s implied definition of “distinct,” there are plenty of ways the respondent COULD show that her family unit is distinct and recognized as such in her local community (also “society”). </w:t>
      </w:r>
    </w:p>
    <w:p w14:paraId="160BDECA" w14:textId="77777777" w:rsidR="002B7620" w:rsidRPr="002B7620" w:rsidRDefault="002B7620" w:rsidP="002B7620">
      <w:pPr>
        <w:rPr>
          <w:rFonts w:ascii="Times New Roman" w:hAnsi="Times New Roman" w:cs="Times New Roman"/>
        </w:rPr>
      </w:pPr>
    </w:p>
    <w:p w14:paraId="606EB2CA" w14:textId="22A27330" w:rsidR="002B7620" w:rsidRPr="007E1101" w:rsidRDefault="002B7620" w:rsidP="002B7620">
      <w:pPr>
        <w:pStyle w:val="ListParagraph"/>
        <w:numPr>
          <w:ilvl w:val="1"/>
          <w:numId w:val="1"/>
        </w:numPr>
        <w:rPr>
          <w:rFonts w:ascii="Times New Roman" w:hAnsi="Times New Roman" w:cs="Times New Roman"/>
        </w:rPr>
      </w:pPr>
      <w:proofErr w:type="gramStart"/>
      <w:r>
        <w:rPr>
          <w:rFonts w:ascii="Times New Roman" w:hAnsi="Times New Roman" w:cs="Times New Roman"/>
          <w:color w:val="0070C0"/>
        </w:rPr>
        <w:t>So</w:t>
      </w:r>
      <w:proofErr w:type="gramEnd"/>
      <w:r>
        <w:rPr>
          <w:rFonts w:ascii="Times New Roman" w:hAnsi="Times New Roman" w:cs="Times New Roman"/>
          <w:color w:val="0070C0"/>
        </w:rPr>
        <w:t xml:space="preserve"> this ought to be remanded, to give respondent a chance—since Barr’s heightened bar came out AFTER briefs in this case were submitted. (Don’t know if anti-retroactivity principles could apply here as well, because of the timing.)</w:t>
      </w:r>
    </w:p>
    <w:p w14:paraId="4D29AE63" w14:textId="0A257D69" w:rsidR="007E1101" w:rsidRPr="007E1101" w:rsidRDefault="007E1101" w:rsidP="007E1101">
      <w:pPr>
        <w:rPr>
          <w:rFonts w:ascii="Times New Roman" w:hAnsi="Times New Roman" w:cs="Times New Roman"/>
        </w:rPr>
      </w:pPr>
    </w:p>
    <w:p w14:paraId="11CDCD32"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Don’t know if you’ll need to interact heavily with the widespread circuit court case law re. family PSGs yet, because the timing issue in this particular case seems a strong argument by itself for a remand. Maybe a surgical strike, just using 3d Cir. cases?</w:t>
      </w:r>
    </w:p>
    <w:p w14:paraId="1F45BA87" w14:textId="4B08529E" w:rsidR="002B7620" w:rsidRPr="007E1101" w:rsidRDefault="002B7620" w:rsidP="002B7620">
      <w:pPr>
        <w:pStyle w:val="ListParagraph"/>
        <w:numPr>
          <w:ilvl w:val="2"/>
          <w:numId w:val="1"/>
        </w:numPr>
        <w:rPr>
          <w:rFonts w:ascii="Times New Roman" w:hAnsi="Times New Roman" w:cs="Times New Roman"/>
        </w:rPr>
      </w:pPr>
      <w:r>
        <w:rPr>
          <w:rFonts w:ascii="Times New Roman" w:hAnsi="Times New Roman" w:cs="Times New Roman"/>
          <w:i/>
          <w:color w:val="0070C0"/>
        </w:rPr>
        <w:lastRenderedPageBreak/>
        <w:t xml:space="preserve">S.E.R.L. v. </w:t>
      </w:r>
      <w:proofErr w:type="spellStart"/>
      <w:r>
        <w:rPr>
          <w:rFonts w:ascii="Times New Roman" w:hAnsi="Times New Roman" w:cs="Times New Roman"/>
          <w:i/>
          <w:color w:val="0070C0"/>
        </w:rPr>
        <w:t>Att’y</w:t>
      </w:r>
      <w:proofErr w:type="spellEnd"/>
      <w:r>
        <w:rPr>
          <w:rFonts w:ascii="Times New Roman" w:hAnsi="Times New Roman" w:cs="Times New Roman"/>
          <w:i/>
          <w:color w:val="0070C0"/>
        </w:rPr>
        <w:t xml:space="preserve"> Gen.</w:t>
      </w:r>
      <w:r>
        <w:rPr>
          <w:rFonts w:ascii="Times New Roman" w:hAnsi="Times New Roman" w:cs="Times New Roman"/>
          <w:color w:val="0070C0"/>
        </w:rPr>
        <w:t xml:space="preserve">, 894 F.3d 535, 541 (3d Cir. 2018) (social group defined as “immediate family members of Honduran women unable to leave a domestic relationship”) </w:t>
      </w:r>
    </w:p>
    <w:p w14:paraId="195642A1" w14:textId="77777777" w:rsidR="007E1101" w:rsidRPr="002B7620" w:rsidRDefault="007E1101" w:rsidP="007E1101">
      <w:pPr>
        <w:pStyle w:val="ListParagraph"/>
        <w:ind w:left="2160"/>
        <w:rPr>
          <w:rFonts w:ascii="Times New Roman" w:hAnsi="Times New Roman" w:cs="Times New Roman"/>
        </w:rPr>
      </w:pPr>
      <w:bookmarkStart w:id="0" w:name="_GoBack"/>
      <w:bookmarkEnd w:id="0"/>
    </w:p>
    <w:p w14:paraId="51118BD5" w14:textId="77777777" w:rsidR="002B7620" w:rsidRDefault="002B7620" w:rsidP="002B7620">
      <w:pPr>
        <w:pStyle w:val="ListParagraph"/>
        <w:numPr>
          <w:ilvl w:val="0"/>
          <w:numId w:val="2"/>
        </w:numPr>
        <w:rPr>
          <w:rFonts w:ascii="Times New Roman" w:hAnsi="Times New Roman" w:cs="Times New Roman"/>
        </w:rPr>
      </w:pPr>
      <w:r>
        <w:rPr>
          <w:rFonts w:ascii="Times New Roman" w:hAnsi="Times New Roman" w:cs="Times New Roman"/>
          <w:b/>
        </w:rPr>
        <w:t>Second PSG (overlooked by IJ)</w:t>
      </w:r>
      <w:r>
        <w:rPr>
          <w:rFonts w:ascii="Times New Roman" w:hAnsi="Times New Roman" w:cs="Times New Roman"/>
        </w:rPr>
        <w:t xml:space="preserve"> (p.1, 3)</w:t>
      </w:r>
    </w:p>
    <w:p w14:paraId="292E4C76" w14:textId="77777777" w:rsid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rPr>
        <w:t>2nd PSG was not addressed by IJ (“mothers of abuse victims targeted for their familial relationship”)</w:t>
      </w:r>
    </w:p>
    <w:p w14:paraId="70381BCA"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rPr>
        <w:t xml:space="preserve">“harmless error” (overlooking this) </w:t>
      </w:r>
      <w:proofErr w:type="spellStart"/>
      <w:r>
        <w:rPr>
          <w:rFonts w:ascii="Times New Roman" w:hAnsi="Times New Roman" w:cs="Times New Roman"/>
        </w:rPr>
        <w:t>bcz</w:t>
      </w:r>
      <w:proofErr w:type="spellEnd"/>
      <w:r>
        <w:rPr>
          <w:rFonts w:ascii="Times New Roman" w:hAnsi="Times New Roman" w:cs="Times New Roman"/>
        </w:rPr>
        <w:t xml:space="preserve"> prior case law says it’s not </w:t>
      </w:r>
      <w:proofErr w:type="spellStart"/>
      <w:r>
        <w:rPr>
          <w:rFonts w:ascii="Times New Roman" w:hAnsi="Times New Roman" w:cs="Times New Roman"/>
        </w:rPr>
        <w:t>congizable</w:t>
      </w:r>
      <w:proofErr w:type="spellEnd"/>
      <w:r>
        <w:rPr>
          <w:rFonts w:ascii="Times New Roman" w:hAnsi="Times New Roman" w:cs="Times New Roman"/>
        </w:rPr>
        <w:t>.</w:t>
      </w:r>
    </w:p>
    <w:p w14:paraId="338EF4D1" w14:textId="77777777" w:rsidR="002B7620" w:rsidRP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b/>
          <w:color w:val="0070C0"/>
          <w:u w:val="single"/>
        </w:rPr>
        <w:t>NOTES:</w:t>
      </w:r>
    </w:p>
    <w:p w14:paraId="0E52C714"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Second PSG is recursive anyway (PSG defined by the abuse), so probably not worth pursuing on appeal.</w:t>
      </w:r>
    </w:p>
    <w:p w14:paraId="18ABF2E1" w14:textId="77777777" w:rsidR="002B7620" w:rsidRDefault="002B7620" w:rsidP="002B7620">
      <w:pPr>
        <w:rPr>
          <w:rFonts w:ascii="Times New Roman" w:hAnsi="Times New Roman" w:cs="Times New Roman"/>
        </w:rPr>
      </w:pPr>
    </w:p>
    <w:p w14:paraId="17916673" w14:textId="77777777" w:rsidR="002B7620" w:rsidRPr="002B7620" w:rsidRDefault="002B7620" w:rsidP="002B7620">
      <w:pPr>
        <w:rPr>
          <w:rFonts w:ascii="Times New Roman" w:hAnsi="Times New Roman" w:cs="Times New Roman"/>
        </w:rPr>
      </w:pPr>
    </w:p>
    <w:p w14:paraId="401412E8" w14:textId="77777777" w:rsidR="002B7620" w:rsidRDefault="002B7620" w:rsidP="002B7620">
      <w:pPr>
        <w:pStyle w:val="ListParagraph"/>
        <w:numPr>
          <w:ilvl w:val="0"/>
          <w:numId w:val="2"/>
        </w:numPr>
        <w:rPr>
          <w:rFonts w:ascii="Times New Roman" w:hAnsi="Times New Roman" w:cs="Times New Roman"/>
        </w:rPr>
      </w:pPr>
      <w:r>
        <w:rPr>
          <w:rFonts w:ascii="Times New Roman" w:hAnsi="Times New Roman" w:cs="Times New Roman"/>
          <w:b/>
        </w:rPr>
        <w:t xml:space="preserve">Government Inability </w:t>
      </w:r>
      <w:r>
        <w:rPr>
          <w:rFonts w:ascii="Times New Roman" w:hAnsi="Times New Roman" w:cs="Times New Roman"/>
        </w:rPr>
        <w:t>(p.1, 4)</w:t>
      </w:r>
    </w:p>
    <w:p w14:paraId="5D2632E9" w14:textId="77777777" w:rsid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rPr>
        <w:t>“The IJ erred in finding the respondent met her burden of showing the government is unable to control the single criminal the respondent feared when the respondent and her family did not give authorities an opportunity to take action against him.” (1)</w:t>
      </w:r>
    </w:p>
    <w:p w14:paraId="1D7BEC50" w14:textId="77777777" w:rsidR="002B7620" w:rsidRP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b/>
          <w:color w:val="0070C0"/>
          <w:u w:val="single"/>
        </w:rPr>
        <w:t>NOTES:</w:t>
      </w:r>
    </w:p>
    <w:p w14:paraId="36258078"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 xml:space="preserve">Need more on attempts to involve the local police, timeline of these attempts, how much time they really did “give authorities” to take care of the problem. (How long is it reasonable to wait before deciding they won’t/can’t </w:t>
      </w:r>
      <w:proofErr w:type="gramStart"/>
      <w:r>
        <w:rPr>
          <w:rFonts w:ascii="Times New Roman" w:hAnsi="Times New Roman" w:cs="Times New Roman"/>
          <w:color w:val="0070C0"/>
        </w:rPr>
        <w:t>take action</w:t>
      </w:r>
      <w:proofErr w:type="gramEnd"/>
      <w:r>
        <w:rPr>
          <w:rFonts w:ascii="Times New Roman" w:hAnsi="Times New Roman" w:cs="Times New Roman"/>
          <w:color w:val="0070C0"/>
        </w:rPr>
        <w:t>?)</w:t>
      </w:r>
    </w:p>
    <w:p w14:paraId="57BE5967"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 xml:space="preserve">She refers here to </w:t>
      </w:r>
      <w:r>
        <w:rPr>
          <w:rFonts w:ascii="Times New Roman" w:hAnsi="Times New Roman" w:cs="Times New Roman"/>
          <w:i/>
          <w:color w:val="0070C0"/>
        </w:rPr>
        <w:t>Matter of A-B-</w:t>
      </w:r>
      <w:r>
        <w:rPr>
          <w:rFonts w:ascii="Times New Roman" w:hAnsi="Times New Roman" w:cs="Times New Roman"/>
          <w:color w:val="0070C0"/>
        </w:rPr>
        <w:t>, 27 I&amp;N Dec. at 337-338, which sets an unprecedentedly high bar for gov’t inability (</w:t>
      </w:r>
      <w:r>
        <w:rPr>
          <w:rFonts w:ascii="Times New Roman" w:hAnsi="Times New Roman" w:cs="Times New Roman"/>
          <w:i/>
          <w:color w:val="0070C0"/>
        </w:rPr>
        <w:t>complete</w:t>
      </w:r>
      <w:r>
        <w:rPr>
          <w:rFonts w:ascii="Times New Roman" w:hAnsi="Times New Roman" w:cs="Times New Roman"/>
          <w:color w:val="0070C0"/>
        </w:rPr>
        <w:t xml:space="preserve"> inability), especially in DV cases. May need to interact with this &amp; </w:t>
      </w:r>
      <w:r>
        <w:rPr>
          <w:rFonts w:ascii="Times New Roman" w:hAnsi="Times New Roman" w:cs="Times New Roman"/>
          <w:i/>
          <w:color w:val="0070C0"/>
        </w:rPr>
        <w:t>Grace v. Whitaker</w:t>
      </w:r>
      <w:r>
        <w:rPr>
          <w:rFonts w:ascii="Times New Roman" w:hAnsi="Times New Roman" w:cs="Times New Roman"/>
          <w:color w:val="0070C0"/>
        </w:rPr>
        <w:t xml:space="preserve"> re. gov’t inability.</w:t>
      </w:r>
    </w:p>
    <w:p w14:paraId="3C78AE24" w14:textId="77777777" w:rsidR="002B7620" w:rsidRDefault="002B7620" w:rsidP="002B7620">
      <w:pPr>
        <w:pStyle w:val="ListParagraph"/>
        <w:rPr>
          <w:rFonts w:ascii="Times New Roman" w:hAnsi="Times New Roman" w:cs="Times New Roman"/>
        </w:rPr>
      </w:pPr>
    </w:p>
    <w:p w14:paraId="7CBD803A" w14:textId="77777777" w:rsidR="002B7620" w:rsidRPr="002B7620" w:rsidRDefault="002B7620" w:rsidP="002B7620">
      <w:pPr>
        <w:rPr>
          <w:rFonts w:ascii="Times New Roman" w:hAnsi="Times New Roman" w:cs="Times New Roman"/>
        </w:rPr>
      </w:pPr>
    </w:p>
    <w:p w14:paraId="0CED3985" w14:textId="77777777" w:rsidR="002B7620" w:rsidRPr="002B7620" w:rsidRDefault="002B7620" w:rsidP="002B7620">
      <w:pPr>
        <w:pStyle w:val="ListParagraph"/>
        <w:numPr>
          <w:ilvl w:val="0"/>
          <w:numId w:val="2"/>
        </w:numPr>
        <w:rPr>
          <w:rFonts w:ascii="Times New Roman" w:hAnsi="Times New Roman" w:cs="Times New Roman"/>
        </w:rPr>
      </w:pPr>
      <w:r>
        <w:rPr>
          <w:rFonts w:ascii="Times New Roman" w:hAnsi="Times New Roman" w:cs="Times New Roman"/>
          <w:b/>
        </w:rPr>
        <w:t>Internal Relocation</w:t>
      </w:r>
    </w:p>
    <w:p w14:paraId="03C44DF4" w14:textId="77777777" w:rsid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rPr>
        <w:t>“Finally, the IJ erred in finding that the respondent’s need to live close to family meant she could not internally relocate within El Salvador when the respondent’s family in El Salvador had already successfully relocated to avoid the single criminal the respondent fears.” (1)</w:t>
      </w:r>
    </w:p>
    <w:p w14:paraId="1CEF4AAE" w14:textId="77777777" w:rsidR="002B7620" w:rsidRP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b/>
          <w:color w:val="0070C0"/>
          <w:u w:val="single"/>
        </w:rPr>
        <w:t>NOTES:</w:t>
      </w:r>
    </w:p>
    <w:p w14:paraId="2310C22A"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More on size of country (compare to state); motivation of “the single criminal” to continue to stalk, harass, threaten and even harm grandmother of his children.</w:t>
      </w:r>
    </w:p>
    <w:p w14:paraId="54F58DA3"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(This is probably the weakest link for Maria’s case, IMO.)</w:t>
      </w:r>
    </w:p>
    <w:p w14:paraId="6B4791E2" w14:textId="77777777" w:rsidR="002B7620" w:rsidRPr="002B7620" w:rsidRDefault="002B7620" w:rsidP="002B7620">
      <w:pPr>
        <w:pStyle w:val="ListParagraph"/>
        <w:rPr>
          <w:rFonts w:ascii="Times New Roman" w:hAnsi="Times New Roman" w:cs="Times New Roman"/>
        </w:rPr>
      </w:pPr>
    </w:p>
    <w:p w14:paraId="33B48BFB" w14:textId="77777777" w:rsidR="002B7620" w:rsidRDefault="002B7620" w:rsidP="002B7620">
      <w:pPr>
        <w:pStyle w:val="ListParagraph"/>
        <w:rPr>
          <w:rFonts w:ascii="Times New Roman" w:hAnsi="Times New Roman" w:cs="Times New Roman"/>
        </w:rPr>
      </w:pPr>
    </w:p>
    <w:p w14:paraId="306ADFD8" w14:textId="77777777" w:rsidR="002B7620" w:rsidRPr="002B7620" w:rsidRDefault="002B7620" w:rsidP="002B7620">
      <w:pPr>
        <w:pStyle w:val="ListParagraph"/>
        <w:numPr>
          <w:ilvl w:val="0"/>
          <w:numId w:val="2"/>
        </w:numPr>
        <w:rPr>
          <w:rFonts w:ascii="Times New Roman" w:hAnsi="Times New Roman" w:cs="Times New Roman"/>
        </w:rPr>
      </w:pPr>
      <w:r>
        <w:rPr>
          <w:rFonts w:ascii="Times New Roman" w:hAnsi="Times New Roman" w:cs="Times New Roman"/>
          <w:b/>
        </w:rPr>
        <w:t>Past Persecution</w:t>
      </w:r>
    </w:p>
    <w:p w14:paraId="0F1A3C23" w14:textId="77777777" w:rsidR="002B7620" w:rsidRP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rPr>
        <w:t>“The IJ erred in finding the respondent met her burden of showing she suffered past persecution.” (1)</w:t>
      </w:r>
    </w:p>
    <w:p w14:paraId="7C81B5F2"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rPr>
        <w:t>“Isolated incidents involving physical attack that does not result in serious injury will not rise to the level of persecution.” (1)</w:t>
      </w:r>
    </w:p>
    <w:p w14:paraId="172DFDB4" w14:textId="77777777" w:rsidR="002B7620" w:rsidRDefault="002B7620" w:rsidP="002B7620">
      <w:pPr>
        <w:pStyle w:val="ListParagraph"/>
        <w:numPr>
          <w:ilvl w:val="2"/>
          <w:numId w:val="1"/>
        </w:numPr>
        <w:rPr>
          <w:rFonts w:ascii="Times New Roman" w:hAnsi="Times New Roman" w:cs="Times New Roman"/>
        </w:rPr>
      </w:pPr>
      <w:proofErr w:type="spellStart"/>
      <w:r>
        <w:rPr>
          <w:rFonts w:ascii="Times New Roman" w:hAnsi="Times New Roman" w:cs="Times New Roman"/>
          <w:i/>
        </w:rPr>
        <w:t>Voci</w:t>
      </w:r>
      <w:proofErr w:type="spellEnd"/>
      <w:r>
        <w:rPr>
          <w:rFonts w:ascii="Times New Roman" w:hAnsi="Times New Roman" w:cs="Times New Roman"/>
          <w:i/>
        </w:rPr>
        <w:t xml:space="preserve"> v. Gonzales</w:t>
      </w:r>
      <w:r>
        <w:rPr>
          <w:rFonts w:ascii="Times New Roman" w:hAnsi="Times New Roman" w:cs="Times New Roman"/>
        </w:rPr>
        <w:t>, 409 F.3d 607, 615 (3d Cir. 2005)</w:t>
      </w:r>
    </w:p>
    <w:p w14:paraId="5A6A8E5F"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rPr>
        <w:t>“Unfulfilled threats do not rise to the level of persecution unless they are so highly imminent and menacing as to cause significant actual suffering or harm.” (2)</w:t>
      </w:r>
    </w:p>
    <w:p w14:paraId="44E4C441" w14:textId="77777777" w:rsidR="002B7620" w:rsidRDefault="002B7620" w:rsidP="002B7620">
      <w:pPr>
        <w:pStyle w:val="ListParagraph"/>
        <w:numPr>
          <w:ilvl w:val="2"/>
          <w:numId w:val="1"/>
        </w:numPr>
        <w:rPr>
          <w:rFonts w:ascii="Times New Roman" w:hAnsi="Times New Roman" w:cs="Times New Roman"/>
        </w:rPr>
      </w:pPr>
      <w:r>
        <w:rPr>
          <w:rFonts w:ascii="Times New Roman" w:hAnsi="Times New Roman" w:cs="Times New Roman"/>
          <w:i/>
        </w:rPr>
        <w:lastRenderedPageBreak/>
        <w:t>Chavarria v. Gonzalez</w:t>
      </w:r>
      <w:r>
        <w:rPr>
          <w:rFonts w:ascii="Times New Roman" w:hAnsi="Times New Roman" w:cs="Times New Roman"/>
        </w:rPr>
        <w:t>, 446 F.3d 508, 518 (3d Cir. 2006)</w:t>
      </w:r>
    </w:p>
    <w:p w14:paraId="1749C11D" w14:textId="77777777" w:rsidR="002B7620" w:rsidRDefault="002B7620" w:rsidP="002B7620">
      <w:pPr>
        <w:pStyle w:val="ListParagraph"/>
        <w:numPr>
          <w:ilvl w:val="3"/>
          <w:numId w:val="1"/>
        </w:numPr>
        <w:rPr>
          <w:rFonts w:ascii="Times New Roman" w:hAnsi="Times New Roman" w:cs="Times New Roman"/>
        </w:rPr>
      </w:pPr>
      <w:r>
        <w:rPr>
          <w:rFonts w:ascii="Times New Roman" w:hAnsi="Times New Roman" w:cs="Times New Roman"/>
          <w:i/>
        </w:rPr>
        <w:t xml:space="preserve">Citing Li v. </w:t>
      </w:r>
      <w:proofErr w:type="spellStart"/>
      <w:r>
        <w:rPr>
          <w:rFonts w:ascii="Times New Roman" w:hAnsi="Times New Roman" w:cs="Times New Roman"/>
          <w:i/>
        </w:rPr>
        <w:t>Att’y</w:t>
      </w:r>
      <w:proofErr w:type="spellEnd"/>
      <w:r>
        <w:rPr>
          <w:rFonts w:ascii="Times New Roman" w:hAnsi="Times New Roman" w:cs="Times New Roman"/>
          <w:i/>
        </w:rPr>
        <w:t xml:space="preserve"> Gen.</w:t>
      </w:r>
      <w:r>
        <w:rPr>
          <w:rFonts w:ascii="Times New Roman" w:hAnsi="Times New Roman" w:cs="Times New Roman"/>
        </w:rPr>
        <w:t>, 400 F.3d 157 (3d Cir. 2005)</w:t>
      </w:r>
    </w:p>
    <w:p w14:paraId="038244AA"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rPr>
        <w:t>“Ordinary criminal activity does not constitute persecution.”</w:t>
      </w:r>
    </w:p>
    <w:p w14:paraId="3790DA0B"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i/>
        </w:rPr>
        <w:t xml:space="preserve">Gonzales-Posadas v. </w:t>
      </w:r>
      <w:proofErr w:type="spellStart"/>
      <w:r>
        <w:rPr>
          <w:rFonts w:ascii="Times New Roman" w:hAnsi="Times New Roman" w:cs="Times New Roman"/>
          <w:i/>
        </w:rPr>
        <w:t>Att’y</w:t>
      </w:r>
      <w:proofErr w:type="spellEnd"/>
      <w:r>
        <w:rPr>
          <w:rFonts w:ascii="Times New Roman" w:hAnsi="Times New Roman" w:cs="Times New Roman"/>
          <w:i/>
        </w:rPr>
        <w:t xml:space="preserve"> Gen.</w:t>
      </w:r>
      <w:r>
        <w:rPr>
          <w:rFonts w:ascii="Times New Roman" w:hAnsi="Times New Roman" w:cs="Times New Roman"/>
        </w:rPr>
        <w:t xml:space="preserve">, 781 F.3d 677, 685 (3d Cir. 2015) (cont’d </w:t>
      </w:r>
      <w:r w:rsidRPr="002B7620">
        <w:rPr>
          <w:rFonts w:ascii="Times New Roman" w:hAnsi="Times New Roman" w:cs="Times New Roman"/>
        </w:rPr>
        <w:sym w:font="Wingdings" w:char="F0E0"/>
      </w:r>
      <w:r>
        <w:rPr>
          <w:rFonts w:ascii="Times New Roman" w:hAnsi="Times New Roman" w:cs="Times New Roman"/>
        </w:rPr>
        <w:t>)</w:t>
      </w:r>
    </w:p>
    <w:p w14:paraId="4B0998E2" w14:textId="77777777" w:rsidR="002B7620" w:rsidRP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b/>
          <w:color w:val="0070C0"/>
          <w:u w:val="single"/>
        </w:rPr>
        <w:t>NOTES:</w:t>
      </w:r>
    </w:p>
    <w:p w14:paraId="4A3AFB7B"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From IJ’s decision: several distinct instances of harm &amp; threats; involvement of weapons; perpetrator’s involvement with gang; specific threats to harm and kill. (See IJ p.7-8 for case law)</w:t>
      </w:r>
    </w:p>
    <w:p w14:paraId="53CE6E4E" w14:textId="77777777" w:rsidR="002B7620" w:rsidRDefault="002B7620" w:rsidP="002B7620">
      <w:pPr>
        <w:rPr>
          <w:rFonts w:ascii="Times New Roman" w:hAnsi="Times New Roman" w:cs="Times New Roman"/>
        </w:rPr>
      </w:pPr>
    </w:p>
    <w:p w14:paraId="316A9143" w14:textId="77777777" w:rsidR="002B7620" w:rsidRDefault="002B7620" w:rsidP="002B7620">
      <w:pPr>
        <w:pStyle w:val="ListParagraph"/>
        <w:numPr>
          <w:ilvl w:val="0"/>
          <w:numId w:val="2"/>
        </w:numPr>
        <w:rPr>
          <w:rFonts w:ascii="Times New Roman" w:hAnsi="Times New Roman" w:cs="Times New Roman"/>
        </w:rPr>
      </w:pPr>
      <w:r>
        <w:rPr>
          <w:rFonts w:ascii="Times New Roman" w:hAnsi="Times New Roman" w:cs="Times New Roman"/>
          <w:b/>
        </w:rPr>
        <w:t>Nexus</w:t>
      </w:r>
    </w:p>
    <w:p w14:paraId="60537288" w14:textId="77777777" w:rsid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rPr>
        <w:t>“The IJ erred in finding that the person the respondent fears targeted her on account of a protected ground.” (4)</w:t>
      </w:r>
    </w:p>
    <w:p w14:paraId="7C5DB846" w14:textId="77777777" w:rsid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rPr>
        <w:t>He was after money; he was not motivated by her relationship to her daughter.</w:t>
      </w:r>
    </w:p>
    <w:p w14:paraId="327352B6"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b/>
        </w:rPr>
        <w:t xml:space="preserve">“The respondent did not show that the individual she fears targeted her because she is a member of her proposed social groups, but rather </w:t>
      </w:r>
      <w:r w:rsidRPr="002B7620">
        <w:rPr>
          <w:rFonts w:ascii="Times New Roman" w:hAnsi="Times New Roman" w:cs="Times New Roman"/>
          <w:b/>
          <w:color w:val="00B050"/>
        </w:rPr>
        <w:t>because she was his former lover’s mother</w:t>
      </w:r>
      <w:r>
        <w:rPr>
          <w:rFonts w:ascii="Times New Roman" w:hAnsi="Times New Roman" w:cs="Times New Roman"/>
          <w:b/>
        </w:rPr>
        <w:t xml:space="preserve">, not a broader collection of people whom he believed warranted the infliction of harm.” </w:t>
      </w:r>
      <w:r>
        <w:rPr>
          <w:rFonts w:ascii="Times New Roman" w:hAnsi="Times New Roman" w:cs="Times New Roman"/>
        </w:rPr>
        <w:t xml:space="preserve">(4).              </w:t>
      </w:r>
    </w:p>
    <w:p w14:paraId="0D38DE92" w14:textId="77777777" w:rsidR="002B7620" w:rsidRP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b/>
          <w:color w:val="0070C0"/>
          <w:u w:val="single"/>
        </w:rPr>
        <w:t>NOTES</w:t>
      </w:r>
      <w:r>
        <w:rPr>
          <w:rFonts w:ascii="Times New Roman" w:hAnsi="Times New Roman" w:cs="Times New Roman"/>
          <w:b/>
          <w:color w:val="0070C0"/>
        </w:rPr>
        <w:t xml:space="preserve"> (on Nexus):</w:t>
      </w:r>
    </w:p>
    <w:p w14:paraId="59BF4155"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ICE attorney just handed this one to you—she was persecuted because “she was his former lover’s mother”—which is exactly the PSG that is being proposed. (Atty apparently conflates the two proposed PSGs, since she refers to “a broader collection of people,” but the family one is completely sufficient here.)</w:t>
      </w:r>
    </w:p>
    <w:p w14:paraId="193A3FDC" w14:textId="77777777" w:rsidR="002B7620" w:rsidRPr="002B7620" w:rsidRDefault="002B7620" w:rsidP="002B7620">
      <w:pPr>
        <w:pStyle w:val="ListParagraph"/>
        <w:numPr>
          <w:ilvl w:val="1"/>
          <w:numId w:val="1"/>
        </w:numPr>
        <w:rPr>
          <w:rFonts w:ascii="Times New Roman" w:hAnsi="Times New Roman" w:cs="Times New Roman"/>
        </w:rPr>
      </w:pPr>
      <w:r>
        <w:rPr>
          <w:rFonts w:ascii="Times New Roman" w:hAnsi="Times New Roman" w:cs="Times New Roman"/>
          <w:color w:val="0070C0"/>
        </w:rPr>
        <w:t>The motivation for his actions ABSOLUTELY comes from her membership in the family that includes herself and her daughter and granddaughters.</w:t>
      </w:r>
    </w:p>
    <w:p w14:paraId="6AB09690" w14:textId="77777777" w:rsidR="002B7620" w:rsidRDefault="002B7620" w:rsidP="002B7620">
      <w:pPr>
        <w:rPr>
          <w:rFonts w:ascii="Times New Roman" w:hAnsi="Times New Roman" w:cs="Times New Roman"/>
        </w:rPr>
      </w:pPr>
    </w:p>
    <w:p w14:paraId="138D02A2" w14:textId="77777777" w:rsidR="002B7620" w:rsidRDefault="002B7620" w:rsidP="002B7620">
      <w:pPr>
        <w:rPr>
          <w:rFonts w:ascii="Times New Roman" w:hAnsi="Times New Roman" w:cs="Times New Roman"/>
        </w:rPr>
      </w:pPr>
    </w:p>
    <w:p w14:paraId="23AABF0B" w14:textId="77777777" w:rsidR="002B7620" w:rsidRDefault="002B7620" w:rsidP="002B7620">
      <w:pPr>
        <w:rPr>
          <w:rFonts w:ascii="Times New Roman" w:hAnsi="Times New Roman" w:cs="Times New Roman"/>
        </w:rPr>
      </w:pPr>
      <w:r>
        <w:rPr>
          <w:rFonts w:ascii="Times New Roman" w:hAnsi="Times New Roman" w:cs="Times New Roman"/>
          <w:b/>
        </w:rPr>
        <w:t>Note from CLINIC practice pointer:</w:t>
      </w:r>
    </w:p>
    <w:p w14:paraId="686FD9B1" w14:textId="77777777" w:rsidR="002B7620" w:rsidRDefault="002B7620" w:rsidP="002B7620">
      <w:pPr>
        <w:pStyle w:val="ListParagraph"/>
        <w:numPr>
          <w:ilvl w:val="0"/>
          <w:numId w:val="1"/>
        </w:numPr>
        <w:rPr>
          <w:rFonts w:ascii="Times New Roman" w:hAnsi="Times New Roman" w:cs="Times New Roman"/>
        </w:rPr>
      </w:pPr>
      <w:r>
        <w:rPr>
          <w:rFonts w:ascii="Times New Roman" w:hAnsi="Times New Roman" w:cs="Times New Roman"/>
        </w:rPr>
        <w:t xml:space="preserve">You’ll want to preserve for appeal the issue that </w:t>
      </w:r>
      <w:r>
        <w:rPr>
          <w:rFonts w:ascii="Times New Roman" w:hAnsi="Times New Roman" w:cs="Times New Roman"/>
          <w:i/>
        </w:rPr>
        <w:t xml:space="preserve">L-E-A- </w:t>
      </w:r>
      <w:r>
        <w:rPr>
          <w:rFonts w:ascii="Times New Roman" w:hAnsi="Times New Roman" w:cs="Times New Roman"/>
        </w:rPr>
        <w:t>was wrongly decided, but since the BIA won’t be addressing this evaluation themselves, you only need a sentence or two for the record.</w:t>
      </w:r>
    </w:p>
    <w:p w14:paraId="25FF4D32" w14:textId="77777777" w:rsidR="002B7620" w:rsidRDefault="002B7620" w:rsidP="002B7620">
      <w:pPr>
        <w:rPr>
          <w:rFonts w:ascii="Times New Roman" w:hAnsi="Times New Roman" w:cs="Times New Roman"/>
        </w:rPr>
      </w:pPr>
    </w:p>
    <w:p w14:paraId="4E412E3C" w14:textId="77777777" w:rsidR="002B7620" w:rsidRPr="002B7620" w:rsidRDefault="002B7620" w:rsidP="002B7620">
      <w:pPr>
        <w:rPr>
          <w:rFonts w:ascii="Times New Roman" w:hAnsi="Times New Roman" w:cs="Times New Roman"/>
        </w:rPr>
      </w:pPr>
    </w:p>
    <w:sectPr w:rsidR="002B7620" w:rsidRPr="002B7620" w:rsidSect="000867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25F4C"/>
    <w:multiLevelType w:val="hybridMultilevel"/>
    <w:tmpl w:val="2FDC57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D3762E"/>
    <w:multiLevelType w:val="hybridMultilevel"/>
    <w:tmpl w:val="BC967E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activeWritingStyle w:appName="MSWord" w:lang="en-US" w:vendorID="64" w:dllVersion="4096" w:nlCheck="1" w:checkStyle="0"/>
  <w:activeWritingStyle w:appName="MSWord" w:lang="en-US" w:vendorID="64" w:dllVersion="0" w:nlCheck="1" w:checkStyle="0"/>
  <w:proofState w:spelling="clean" w:grammar="clean"/>
  <w:defaultTabStop w:val="720"/>
  <w:drawingGridHorizontalSpacing w:val="187"/>
  <w:drawingGridVerticalSpacing w:val="18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620"/>
    <w:rsid w:val="0008671A"/>
    <w:rsid w:val="002B7620"/>
    <w:rsid w:val="007D7F25"/>
    <w:rsid w:val="007E1101"/>
    <w:rsid w:val="00883280"/>
    <w:rsid w:val="00BC41A1"/>
    <w:rsid w:val="00D35A96"/>
    <w:rsid w:val="00E30F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9F665"/>
  <w15:chartTrackingRefBased/>
  <w15:docId w15:val="{53B8C7F8-BB70-4645-BBFF-F72E5FC48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76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923</Words>
  <Characters>5262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Britton</dc:creator>
  <cp:keywords/>
  <dc:description/>
  <cp:lastModifiedBy>Paige Britton</cp:lastModifiedBy>
  <cp:revision>2</cp:revision>
  <dcterms:created xsi:type="dcterms:W3CDTF">2019-11-17T12:41:00Z</dcterms:created>
  <dcterms:modified xsi:type="dcterms:W3CDTF">2019-11-17T12:41:00Z</dcterms:modified>
</cp:coreProperties>
</file>