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7F99FF" w14:textId="31AE29D5" w:rsidR="00CE41B9" w:rsidRPr="00FF1EAA" w:rsidRDefault="00077658" w:rsidP="00077658">
      <w:pPr>
        <w:jc w:val="center"/>
        <w:rPr>
          <w:rFonts w:ascii="Times New Roman" w:hAnsi="Times New Roman" w:cs="Times New Roman"/>
          <w:b/>
          <w:sz w:val="24"/>
          <w:szCs w:val="24"/>
        </w:rPr>
      </w:pPr>
      <w:bookmarkStart w:id="0" w:name="_GoBack"/>
      <w:bookmarkEnd w:id="0"/>
      <w:r w:rsidRPr="00FF1EAA">
        <w:rPr>
          <w:rFonts w:ascii="Times New Roman" w:hAnsi="Times New Roman" w:cs="Times New Roman"/>
          <w:b/>
          <w:sz w:val="24"/>
          <w:szCs w:val="24"/>
        </w:rPr>
        <w:t>Immigration Court:</w:t>
      </w:r>
      <w:r w:rsidR="00297541" w:rsidRPr="00FF1EAA">
        <w:rPr>
          <w:rFonts w:ascii="Times New Roman" w:hAnsi="Times New Roman" w:cs="Times New Roman"/>
          <w:b/>
          <w:sz w:val="24"/>
          <w:szCs w:val="24"/>
        </w:rPr>
        <w:t xml:space="preserve"> BIA</w:t>
      </w:r>
    </w:p>
    <w:p w14:paraId="0A438C4E" w14:textId="43F1EC0B" w:rsidR="00077658" w:rsidRPr="00FF1EAA" w:rsidRDefault="00077658" w:rsidP="00077658">
      <w:pPr>
        <w:rPr>
          <w:rFonts w:ascii="Times New Roman" w:hAnsi="Times New Roman" w:cs="Times New Roman"/>
          <w:bCs/>
          <w:sz w:val="24"/>
          <w:szCs w:val="24"/>
        </w:rPr>
      </w:pPr>
      <w:r w:rsidRPr="00FF1EAA">
        <w:rPr>
          <w:rFonts w:ascii="Times New Roman" w:hAnsi="Times New Roman" w:cs="Times New Roman"/>
          <w:b/>
          <w:sz w:val="24"/>
          <w:szCs w:val="24"/>
        </w:rPr>
        <w:t>Case:</w:t>
      </w:r>
      <w:r w:rsidR="00297541" w:rsidRPr="00FF1EAA">
        <w:rPr>
          <w:rFonts w:ascii="Times New Roman" w:hAnsi="Times New Roman" w:cs="Times New Roman"/>
          <w:b/>
          <w:sz w:val="24"/>
          <w:szCs w:val="24"/>
        </w:rPr>
        <w:t xml:space="preserve"> </w:t>
      </w:r>
      <w:r w:rsidR="00297541" w:rsidRPr="00FF1EAA">
        <w:rPr>
          <w:rFonts w:ascii="Times New Roman" w:hAnsi="Times New Roman" w:cs="Times New Roman"/>
          <w:bCs/>
          <w:i/>
          <w:iCs/>
          <w:sz w:val="24"/>
          <w:szCs w:val="24"/>
        </w:rPr>
        <w:t>Matter of Avetisyan</w:t>
      </w:r>
      <w:r w:rsidR="00297541" w:rsidRPr="00FF1EAA">
        <w:rPr>
          <w:rFonts w:ascii="Times New Roman" w:hAnsi="Times New Roman" w:cs="Times New Roman"/>
          <w:bCs/>
          <w:sz w:val="24"/>
          <w:szCs w:val="24"/>
        </w:rPr>
        <w:t>, 25 I&amp;N Dec. 688 (BIA 2012)</w:t>
      </w:r>
      <w:r w:rsidRPr="00FF1EAA">
        <w:rPr>
          <w:rFonts w:ascii="Times New Roman" w:hAnsi="Times New Roman" w:cs="Times New Roman"/>
          <w:b/>
          <w:sz w:val="24"/>
          <w:szCs w:val="24"/>
        </w:rPr>
        <w:tab/>
        <w:t>Date:</w:t>
      </w:r>
      <w:r w:rsidR="00297541" w:rsidRPr="00FF1EAA">
        <w:rPr>
          <w:rFonts w:ascii="Times New Roman" w:hAnsi="Times New Roman" w:cs="Times New Roman"/>
          <w:bCs/>
          <w:sz w:val="24"/>
          <w:szCs w:val="24"/>
        </w:rPr>
        <w:t xml:space="preserve"> January 31, 2012</w:t>
      </w:r>
    </w:p>
    <w:p w14:paraId="5C6A3672" w14:textId="719278B4" w:rsidR="00077658" w:rsidRPr="00FF1EAA" w:rsidRDefault="00077658" w:rsidP="00077658">
      <w:pPr>
        <w:rPr>
          <w:rFonts w:ascii="Times New Roman" w:hAnsi="Times New Roman" w:cs="Times New Roman"/>
          <w:b/>
          <w:sz w:val="24"/>
          <w:szCs w:val="24"/>
        </w:rPr>
      </w:pPr>
      <w:r w:rsidRPr="00FF1EAA">
        <w:rPr>
          <w:rFonts w:ascii="Times New Roman" w:hAnsi="Times New Roman" w:cs="Times New Roman"/>
          <w:b/>
          <w:sz w:val="24"/>
          <w:szCs w:val="24"/>
        </w:rPr>
        <w:t>Adjudicated by:</w:t>
      </w:r>
      <w:r w:rsidR="00297541" w:rsidRPr="00FF1EAA">
        <w:rPr>
          <w:rFonts w:ascii="Times New Roman" w:hAnsi="Times New Roman" w:cs="Times New Roman"/>
          <w:bCs/>
          <w:sz w:val="24"/>
          <w:szCs w:val="24"/>
        </w:rPr>
        <w:t xml:space="preserve"> Panel: Miller, Adkins-Blanch, </w:t>
      </w:r>
      <w:proofErr w:type="spellStart"/>
      <w:r w:rsidR="00297541" w:rsidRPr="00FF1EAA">
        <w:rPr>
          <w:rFonts w:ascii="Times New Roman" w:hAnsi="Times New Roman" w:cs="Times New Roman"/>
          <w:bCs/>
          <w:sz w:val="24"/>
          <w:szCs w:val="24"/>
        </w:rPr>
        <w:t>Guendelsberger</w:t>
      </w:r>
      <w:proofErr w:type="spellEnd"/>
      <w:r w:rsidRPr="00FF1EAA">
        <w:rPr>
          <w:rFonts w:ascii="Times New Roman" w:hAnsi="Times New Roman" w:cs="Times New Roman"/>
          <w:b/>
          <w:sz w:val="24"/>
          <w:szCs w:val="24"/>
        </w:rPr>
        <w:tab/>
      </w:r>
      <w:r w:rsidRPr="00FF1EAA">
        <w:rPr>
          <w:rFonts w:ascii="Times New Roman" w:hAnsi="Times New Roman" w:cs="Times New Roman"/>
          <w:b/>
          <w:sz w:val="24"/>
          <w:szCs w:val="24"/>
        </w:rPr>
        <w:tab/>
      </w:r>
      <w:r w:rsidRPr="00FF1EAA">
        <w:rPr>
          <w:rFonts w:ascii="Times New Roman" w:hAnsi="Times New Roman" w:cs="Times New Roman"/>
          <w:b/>
          <w:sz w:val="24"/>
          <w:szCs w:val="24"/>
        </w:rPr>
        <w:tab/>
      </w:r>
      <w:r w:rsidRPr="00FF1EAA">
        <w:rPr>
          <w:rFonts w:ascii="Times New Roman" w:hAnsi="Times New Roman" w:cs="Times New Roman"/>
          <w:b/>
          <w:sz w:val="24"/>
          <w:szCs w:val="24"/>
        </w:rPr>
        <w:tab/>
      </w:r>
      <w:r w:rsidRPr="00FF1EAA">
        <w:rPr>
          <w:rFonts w:ascii="Times New Roman" w:hAnsi="Times New Roman" w:cs="Times New Roman"/>
          <w:b/>
          <w:sz w:val="24"/>
          <w:szCs w:val="24"/>
        </w:rPr>
        <w:tab/>
      </w:r>
    </w:p>
    <w:p w14:paraId="71B79066" w14:textId="5B746B48" w:rsidR="00077658" w:rsidRPr="00FF1EAA" w:rsidRDefault="00077658" w:rsidP="00077658">
      <w:pPr>
        <w:rPr>
          <w:rFonts w:ascii="Times New Roman" w:hAnsi="Times New Roman" w:cs="Times New Roman"/>
          <w:bCs/>
          <w:sz w:val="24"/>
          <w:szCs w:val="24"/>
        </w:rPr>
      </w:pPr>
      <w:r w:rsidRPr="00FF1EAA">
        <w:rPr>
          <w:rFonts w:ascii="Times New Roman" w:hAnsi="Times New Roman" w:cs="Times New Roman"/>
          <w:b/>
          <w:sz w:val="24"/>
          <w:szCs w:val="24"/>
        </w:rPr>
        <w:t>Opinion:</w:t>
      </w:r>
      <w:r w:rsidR="00297541" w:rsidRPr="00FF1EAA">
        <w:rPr>
          <w:rFonts w:ascii="Times New Roman" w:hAnsi="Times New Roman" w:cs="Times New Roman"/>
          <w:bCs/>
          <w:sz w:val="24"/>
          <w:szCs w:val="24"/>
        </w:rPr>
        <w:t xml:space="preserve"> Miller</w:t>
      </w:r>
    </w:p>
    <w:p w14:paraId="2A2B82DB" w14:textId="2D441E3A" w:rsidR="00077658" w:rsidRPr="00FF1EAA" w:rsidRDefault="00077658" w:rsidP="00297541">
      <w:pPr>
        <w:spacing w:after="0"/>
        <w:rPr>
          <w:rFonts w:ascii="Times New Roman" w:hAnsi="Times New Roman" w:cs="Times New Roman"/>
          <w:bCs/>
          <w:sz w:val="24"/>
          <w:szCs w:val="24"/>
        </w:rPr>
      </w:pPr>
      <w:r w:rsidRPr="00FF1EAA">
        <w:rPr>
          <w:rFonts w:ascii="Times New Roman" w:hAnsi="Times New Roman" w:cs="Times New Roman"/>
          <w:b/>
          <w:sz w:val="24"/>
          <w:szCs w:val="24"/>
        </w:rPr>
        <w:t>Tags:</w:t>
      </w:r>
      <w:r w:rsidR="00297541" w:rsidRPr="00FF1EAA">
        <w:rPr>
          <w:rFonts w:ascii="Times New Roman" w:hAnsi="Times New Roman" w:cs="Times New Roman"/>
          <w:bCs/>
          <w:sz w:val="24"/>
          <w:szCs w:val="24"/>
        </w:rPr>
        <w:t xml:space="preserve"> Immigration, Administrative Closure, IJs, BIA, opposing party</w:t>
      </w:r>
    </w:p>
    <w:p w14:paraId="3B64A0EA" w14:textId="77777777" w:rsidR="00297541" w:rsidRPr="00FF1EAA" w:rsidRDefault="00297541" w:rsidP="00297541">
      <w:pPr>
        <w:spacing w:after="0"/>
        <w:rPr>
          <w:rFonts w:ascii="Times New Roman" w:hAnsi="Times New Roman" w:cs="Times New Roman"/>
          <w:b/>
          <w:sz w:val="24"/>
          <w:szCs w:val="24"/>
        </w:rPr>
      </w:pPr>
    </w:p>
    <w:p w14:paraId="6247D151" w14:textId="745705D4" w:rsidR="00077658" w:rsidRPr="00FF1EAA" w:rsidRDefault="00077658" w:rsidP="00297541">
      <w:pPr>
        <w:spacing w:after="0"/>
        <w:rPr>
          <w:rFonts w:ascii="Times New Roman" w:hAnsi="Times New Roman" w:cs="Times New Roman"/>
          <w:bCs/>
          <w:sz w:val="24"/>
          <w:szCs w:val="24"/>
        </w:rPr>
      </w:pPr>
      <w:r w:rsidRPr="00FF1EAA">
        <w:rPr>
          <w:rFonts w:ascii="Times New Roman" w:hAnsi="Times New Roman" w:cs="Times New Roman"/>
          <w:b/>
          <w:sz w:val="24"/>
          <w:szCs w:val="24"/>
        </w:rPr>
        <w:t>Question Presented:</w:t>
      </w:r>
      <w:r w:rsidR="00297541" w:rsidRPr="00FF1EAA">
        <w:rPr>
          <w:rFonts w:ascii="Times New Roman" w:hAnsi="Times New Roman" w:cs="Times New Roman"/>
          <w:bCs/>
          <w:sz w:val="24"/>
          <w:szCs w:val="24"/>
        </w:rPr>
        <w:t xml:space="preserve"> Do IJs and BIA members have the authority to administratively close a case over one party’s objection?</w:t>
      </w:r>
    </w:p>
    <w:p w14:paraId="7835EE62" w14:textId="77777777" w:rsidR="00077658" w:rsidRPr="00FF1EAA" w:rsidRDefault="00077658" w:rsidP="00297541">
      <w:pPr>
        <w:spacing w:after="0"/>
        <w:rPr>
          <w:rFonts w:ascii="Times New Roman" w:hAnsi="Times New Roman" w:cs="Times New Roman"/>
          <w:b/>
          <w:sz w:val="24"/>
          <w:szCs w:val="24"/>
        </w:rPr>
      </w:pPr>
    </w:p>
    <w:p w14:paraId="48071D43" w14:textId="5CE625E9" w:rsidR="00077658" w:rsidRPr="00FF1EAA" w:rsidRDefault="00077658" w:rsidP="00297541">
      <w:pPr>
        <w:spacing w:after="0"/>
        <w:rPr>
          <w:rFonts w:ascii="Times New Roman" w:hAnsi="Times New Roman" w:cs="Times New Roman"/>
          <w:bCs/>
          <w:sz w:val="24"/>
          <w:szCs w:val="24"/>
        </w:rPr>
      </w:pPr>
      <w:r w:rsidRPr="00FF1EAA">
        <w:rPr>
          <w:rFonts w:ascii="Times New Roman" w:hAnsi="Times New Roman" w:cs="Times New Roman"/>
          <w:b/>
          <w:sz w:val="24"/>
          <w:szCs w:val="24"/>
        </w:rPr>
        <w:t>Holdings:</w:t>
      </w:r>
      <w:r w:rsidR="00297541" w:rsidRPr="00FF1EAA">
        <w:rPr>
          <w:rFonts w:ascii="Times New Roman" w:hAnsi="Times New Roman" w:cs="Times New Roman"/>
          <w:bCs/>
          <w:sz w:val="24"/>
          <w:szCs w:val="24"/>
        </w:rPr>
        <w:t xml:space="preserve"> Yes, IJs and the BIA may exercise authority to administratively close a case even over one party’s objection, so long as their decision considers six factors:</w:t>
      </w:r>
    </w:p>
    <w:p w14:paraId="66023456" w14:textId="1490E55B" w:rsidR="00297541" w:rsidRPr="00FF1EAA" w:rsidRDefault="00297541" w:rsidP="00297541">
      <w:pPr>
        <w:pStyle w:val="ListParagraph"/>
        <w:numPr>
          <w:ilvl w:val="0"/>
          <w:numId w:val="1"/>
        </w:numPr>
        <w:spacing w:after="0"/>
        <w:rPr>
          <w:rFonts w:ascii="Times New Roman" w:hAnsi="Times New Roman" w:cs="Times New Roman"/>
          <w:bCs/>
          <w:sz w:val="24"/>
          <w:szCs w:val="24"/>
        </w:rPr>
      </w:pPr>
      <w:r w:rsidRPr="00FF1EAA">
        <w:rPr>
          <w:rFonts w:ascii="Times New Roman" w:hAnsi="Times New Roman" w:cs="Times New Roman"/>
          <w:bCs/>
          <w:sz w:val="24"/>
          <w:szCs w:val="24"/>
        </w:rPr>
        <w:t>The reason administrative closure is sought;</w:t>
      </w:r>
    </w:p>
    <w:p w14:paraId="15BB8E95" w14:textId="3777CC99" w:rsidR="00297541" w:rsidRPr="00FF1EAA" w:rsidRDefault="00297541" w:rsidP="00297541">
      <w:pPr>
        <w:pStyle w:val="ListParagraph"/>
        <w:numPr>
          <w:ilvl w:val="0"/>
          <w:numId w:val="1"/>
        </w:numPr>
        <w:spacing w:after="0"/>
        <w:rPr>
          <w:rFonts w:ascii="Times New Roman" w:hAnsi="Times New Roman" w:cs="Times New Roman"/>
          <w:bCs/>
          <w:sz w:val="24"/>
          <w:szCs w:val="24"/>
        </w:rPr>
      </w:pPr>
      <w:r w:rsidRPr="00FF1EAA">
        <w:rPr>
          <w:rFonts w:ascii="Times New Roman" w:hAnsi="Times New Roman" w:cs="Times New Roman"/>
          <w:bCs/>
          <w:sz w:val="24"/>
          <w:szCs w:val="24"/>
        </w:rPr>
        <w:t>The basis for any opposition to it;</w:t>
      </w:r>
    </w:p>
    <w:p w14:paraId="09F0E54C" w14:textId="09821020" w:rsidR="00297541" w:rsidRPr="00FF1EAA" w:rsidRDefault="00297541" w:rsidP="00297541">
      <w:pPr>
        <w:pStyle w:val="ListParagraph"/>
        <w:numPr>
          <w:ilvl w:val="0"/>
          <w:numId w:val="1"/>
        </w:numPr>
        <w:spacing w:after="0"/>
        <w:rPr>
          <w:rFonts w:ascii="Times New Roman" w:hAnsi="Times New Roman" w:cs="Times New Roman"/>
          <w:bCs/>
          <w:sz w:val="24"/>
          <w:szCs w:val="24"/>
        </w:rPr>
      </w:pPr>
      <w:r w:rsidRPr="00FF1EAA">
        <w:rPr>
          <w:rFonts w:ascii="Times New Roman" w:hAnsi="Times New Roman" w:cs="Times New Roman"/>
          <w:bCs/>
          <w:sz w:val="24"/>
          <w:szCs w:val="24"/>
        </w:rPr>
        <w:t>The likelihood that the respondent will succeed in any pending petition outside removal proceedings;</w:t>
      </w:r>
    </w:p>
    <w:p w14:paraId="5DB15864" w14:textId="7DB9BA94" w:rsidR="00297541" w:rsidRPr="00FF1EAA" w:rsidRDefault="00297541" w:rsidP="00297541">
      <w:pPr>
        <w:pStyle w:val="ListParagraph"/>
        <w:numPr>
          <w:ilvl w:val="0"/>
          <w:numId w:val="1"/>
        </w:numPr>
        <w:spacing w:after="0"/>
        <w:rPr>
          <w:rFonts w:ascii="Times New Roman" w:hAnsi="Times New Roman" w:cs="Times New Roman"/>
          <w:bCs/>
          <w:sz w:val="24"/>
          <w:szCs w:val="24"/>
        </w:rPr>
      </w:pPr>
      <w:r w:rsidRPr="00FF1EAA">
        <w:rPr>
          <w:rFonts w:ascii="Times New Roman" w:hAnsi="Times New Roman" w:cs="Times New Roman"/>
          <w:bCs/>
          <w:sz w:val="24"/>
          <w:szCs w:val="24"/>
        </w:rPr>
        <w:t>The anticipated duration of the closure;</w:t>
      </w:r>
    </w:p>
    <w:p w14:paraId="5937B57A" w14:textId="1D218E61" w:rsidR="00297541" w:rsidRPr="00FF1EAA" w:rsidRDefault="00297541" w:rsidP="00297541">
      <w:pPr>
        <w:pStyle w:val="ListParagraph"/>
        <w:numPr>
          <w:ilvl w:val="0"/>
          <w:numId w:val="1"/>
        </w:numPr>
        <w:spacing w:after="0"/>
        <w:rPr>
          <w:rFonts w:ascii="Times New Roman" w:hAnsi="Times New Roman" w:cs="Times New Roman"/>
          <w:bCs/>
          <w:sz w:val="24"/>
          <w:szCs w:val="24"/>
        </w:rPr>
      </w:pPr>
      <w:r w:rsidRPr="00FF1EAA">
        <w:rPr>
          <w:rFonts w:ascii="Times New Roman" w:hAnsi="Times New Roman" w:cs="Times New Roman"/>
          <w:bCs/>
          <w:sz w:val="24"/>
          <w:szCs w:val="24"/>
        </w:rPr>
        <w:t>The responsibility of either party for contributing to the delay;</w:t>
      </w:r>
    </w:p>
    <w:p w14:paraId="2B5FE825" w14:textId="6CD2053B" w:rsidR="00297541" w:rsidRPr="00FF1EAA" w:rsidRDefault="00297541" w:rsidP="00297541">
      <w:pPr>
        <w:pStyle w:val="ListParagraph"/>
        <w:numPr>
          <w:ilvl w:val="0"/>
          <w:numId w:val="1"/>
        </w:numPr>
        <w:spacing w:after="0"/>
        <w:rPr>
          <w:rFonts w:ascii="Times New Roman" w:hAnsi="Times New Roman" w:cs="Times New Roman"/>
          <w:bCs/>
          <w:sz w:val="24"/>
          <w:szCs w:val="24"/>
        </w:rPr>
      </w:pPr>
      <w:r w:rsidRPr="00FF1EAA">
        <w:rPr>
          <w:rFonts w:ascii="Times New Roman" w:hAnsi="Times New Roman" w:cs="Times New Roman"/>
          <w:bCs/>
          <w:sz w:val="24"/>
          <w:szCs w:val="24"/>
        </w:rPr>
        <w:t>The ultimate outcome of removal proceedings when the case gets taken up again.</w:t>
      </w:r>
    </w:p>
    <w:p w14:paraId="53FA7053" w14:textId="77777777" w:rsidR="00077658" w:rsidRPr="00FF1EAA" w:rsidRDefault="00077658" w:rsidP="00297541">
      <w:pPr>
        <w:spacing w:after="0"/>
        <w:rPr>
          <w:rFonts w:ascii="Times New Roman" w:hAnsi="Times New Roman" w:cs="Times New Roman"/>
          <w:b/>
          <w:sz w:val="24"/>
          <w:szCs w:val="24"/>
        </w:rPr>
      </w:pPr>
    </w:p>
    <w:p w14:paraId="49B409F3" w14:textId="6E5B4D4B" w:rsidR="00077658" w:rsidRPr="00FF1EAA" w:rsidRDefault="00077658" w:rsidP="00297541">
      <w:pPr>
        <w:spacing w:after="0"/>
        <w:rPr>
          <w:rFonts w:ascii="Times New Roman" w:hAnsi="Times New Roman" w:cs="Times New Roman"/>
          <w:bCs/>
          <w:sz w:val="24"/>
          <w:szCs w:val="24"/>
        </w:rPr>
      </w:pPr>
      <w:r w:rsidRPr="00FF1EAA">
        <w:rPr>
          <w:rFonts w:ascii="Times New Roman" w:hAnsi="Times New Roman" w:cs="Times New Roman"/>
          <w:b/>
          <w:sz w:val="24"/>
          <w:szCs w:val="24"/>
        </w:rPr>
        <w:t>Rationale:</w:t>
      </w:r>
      <w:r w:rsidR="00297541" w:rsidRPr="00FF1EAA">
        <w:rPr>
          <w:rFonts w:ascii="Times New Roman" w:hAnsi="Times New Roman" w:cs="Times New Roman"/>
          <w:bCs/>
          <w:sz w:val="24"/>
          <w:szCs w:val="24"/>
        </w:rPr>
        <w:t xml:space="preserve"> Sometimes administrative closure is the most expeditious way to handle a case when actions are pending indefinitely that are outside the control of either party.</w:t>
      </w:r>
    </w:p>
    <w:p w14:paraId="1AEE9B67" w14:textId="77777777" w:rsidR="00077658" w:rsidRPr="00FF1EAA" w:rsidRDefault="00077658" w:rsidP="00297541">
      <w:pPr>
        <w:spacing w:after="0"/>
        <w:rPr>
          <w:rFonts w:ascii="Times New Roman" w:hAnsi="Times New Roman" w:cs="Times New Roman"/>
          <w:b/>
          <w:sz w:val="24"/>
          <w:szCs w:val="24"/>
        </w:rPr>
      </w:pPr>
    </w:p>
    <w:p w14:paraId="4ECC7604" w14:textId="2A10F004" w:rsidR="00077658" w:rsidRPr="00FF1EAA" w:rsidRDefault="00077658" w:rsidP="00297541">
      <w:pPr>
        <w:spacing w:after="0"/>
        <w:rPr>
          <w:rFonts w:ascii="Times New Roman" w:hAnsi="Times New Roman" w:cs="Times New Roman"/>
          <w:bCs/>
          <w:sz w:val="24"/>
          <w:szCs w:val="24"/>
        </w:rPr>
      </w:pPr>
      <w:r w:rsidRPr="00FF1EAA">
        <w:rPr>
          <w:rFonts w:ascii="Times New Roman" w:hAnsi="Times New Roman" w:cs="Times New Roman"/>
          <w:b/>
          <w:sz w:val="24"/>
          <w:szCs w:val="24"/>
        </w:rPr>
        <w:t>Facts:</w:t>
      </w:r>
      <w:r w:rsidR="00297541" w:rsidRPr="00FF1EAA">
        <w:rPr>
          <w:rFonts w:ascii="Times New Roman" w:hAnsi="Times New Roman" w:cs="Times New Roman"/>
          <w:bCs/>
          <w:sz w:val="24"/>
          <w:szCs w:val="24"/>
        </w:rPr>
        <w:t xml:space="preserve"> Native and citizen of Armenia who overstayed a J-1 exchange visa married an LPR, who was in the process of naturalizing and had filed a visa petition on her behalf. EIGHT CONTINUANCES LATER, respondent sought administrative closure. DHS objected. </w:t>
      </w:r>
      <w:r w:rsidR="001D6E20" w:rsidRPr="00FF1EAA">
        <w:rPr>
          <w:rFonts w:ascii="Times New Roman" w:hAnsi="Times New Roman" w:cs="Times New Roman"/>
          <w:bCs/>
          <w:sz w:val="24"/>
          <w:szCs w:val="24"/>
        </w:rPr>
        <w:t>After two more continuances, IJ finally granted administrative closure, and DHS appealed.</w:t>
      </w:r>
    </w:p>
    <w:p w14:paraId="14D848C1" w14:textId="77777777" w:rsidR="00077658" w:rsidRPr="00FF1EAA" w:rsidRDefault="00077658" w:rsidP="00297541">
      <w:pPr>
        <w:spacing w:after="0"/>
        <w:rPr>
          <w:rFonts w:ascii="Times New Roman" w:hAnsi="Times New Roman" w:cs="Times New Roman"/>
          <w:b/>
          <w:sz w:val="24"/>
          <w:szCs w:val="24"/>
        </w:rPr>
      </w:pPr>
    </w:p>
    <w:p w14:paraId="4ABEB2F3" w14:textId="66D48804" w:rsidR="00077658" w:rsidRPr="00FF1EAA" w:rsidRDefault="00077658" w:rsidP="00297541">
      <w:pPr>
        <w:spacing w:after="0"/>
        <w:rPr>
          <w:rFonts w:ascii="Times New Roman" w:hAnsi="Times New Roman" w:cs="Times New Roman"/>
          <w:b/>
          <w:sz w:val="24"/>
          <w:szCs w:val="24"/>
        </w:rPr>
      </w:pPr>
      <w:r w:rsidRPr="00FF1EAA">
        <w:rPr>
          <w:rFonts w:ascii="Times New Roman" w:hAnsi="Times New Roman" w:cs="Times New Roman"/>
          <w:b/>
          <w:sz w:val="24"/>
          <w:szCs w:val="24"/>
        </w:rPr>
        <w:t>Appeals to Statute &amp; Precedent:</w:t>
      </w:r>
    </w:p>
    <w:p w14:paraId="0272F4FF" w14:textId="298C6042" w:rsidR="001D6E20" w:rsidRPr="00FF1EAA" w:rsidRDefault="001D6E20" w:rsidP="001D6E20">
      <w:pPr>
        <w:pStyle w:val="ListParagraph"/>
        <w:numPr>
          <w:ilvl w:val="0"/>
          <w:numId w:val="2"/>
        </w:numPr>
        <w:spacing w:after="0"/>
        <w:rPr>
          <w:rFonts w:ascii="Times New Roman" w:hAnsi="Times New Roman" w:cs="Times New Roman"/>
          <w:b/>
          <w:sz w:val="24"/>
          <w:szCs w:val="24"/>
        </w:rPr>
      </w:pPr>
      <w:r w:rsidRPr="00FF1EAA">
        <w:rPr>
          <w:rFonts w:ascii="Times New Roman" w:hAnsi="Times New Roman" w:cs="Times New Roman"/>
          <w:b/>
          <w:i/>
          <w:iCs/>
          <w:sz w:val="24"/>
          <w:szCs w:val="24"/>
        </w:rPr>
        <w:t>Matter of Gutierrez</w:t>
      </w:r>
      <w:r w:rsidRPr="00FF1EAA">
        <w:rPr>
          <w:rFonts w:ascii="Times New Roman" w:hAnsi="Times New Roman" w:cs="Times New Roman"/>
          <w:b/>
          <w:sz w:val="24"/>
          <w:szCs w:val="24"/>
        </w:rPr>
        <w:t>, 21 I&amp;N Dec. 479 (BIA 1996):</w:t>
      </w:r>
      <w:r w:rsidRPr="00FF1EAA">
        <w:rPr>
          <w:rFonts w:ascii="Times New Roman" w:hAnsi="Times New Roman" w:cs="Times New Roman"/>
          <w:bCs/>
          <w:sz w:val="24"/>
          <w:szCs w:val="24"/>
        </w:rPr>
        <w:t xml:space="preserve"> a case may not be administratively closed if one party objects. </w:t>
      </w:r>
      <w:r w:rsidRPr="00FF1EAA">
        <w:rPr>
          <w:rFonts w:ascii="Times New Roman" w:hAnsi="Times New Roman" w:cs="Times New Roman"/>
          <w:b/>
          <w:sz w:val="24"/>
          <w:szCs w:val="24"/>
        </w:rPr>
        <w:t>OVERRULED.</w:t>
      </w:r>
      <w:r w:rsidR="00C54626">
        <w:rPr>
          <w:rFonts w:ascii="Times New Roman" w:hAnsi="Times New Roman" w:cs="Times New Roman"/>
          <w:b/>
          <w:sz w:val="24"/>
          <w:szCs w:val="24"/>
        </w:rPr>
        <w:t xml:space="preserve"> </w:t>
      </w:r>
      <w:r w:rsidR="00C54626">
        <w:rPr>
          <w:rFonts w:ascii="Times New Roman" w:hAnsi="Times New Roman" w:cs="Times New Roman"/>
          <w:bCs/>
          <w:sz w:val="24"/>
          <w:szCs w:val="24"/>
        </w:rPr>
        <w:t>(“. . . has been interpreted as investing a party, typically the DHS, with absolute veto power over administrative closure requests,” at 692.)</w:t>
      </w:r>
    </w:p>
    <w:p w14:paraId="5D40BE38" w14:textId="04471AD8" w:rsidR="001D6E20" w:rsidRPr="00FF1EAA" w:rsidRDefault="001D6E20" w:rsidP="001D6E20">
      <w:pPr>
        <w:pStyle w:val="ListParagraph"/>
        <w:numPr>
          <w:ilvl w:val="0"/>
          <w:numId w:val="2"/>
        </w:numPr>
        <w:spacing w:after="0"/>
        <w:rPr>
          <w:rFonts w:ascii="Times New Roman" w:hAnsi="Times New Roman" w:cs="Times New Roman"/>
          <w:b/>
          <w:sz w:val="24"/>
          <w:szCs w:val="24"/>
        </w:rPr>
      </w:pPr>
      <w:r w:rsidRPr="00FF1EAA">
        <w:rPr>
          <w:rFonts w:ascii="Times New Roman" w:hAnsi="Times New Roman" w:cs="Times New Roman"/>
          <w:b/>
          <w:sz w:val="24"/>
          <w:szCs w:val="24"/>
        </w:rPr>
        <w:t>8 C.F.R. § 1240.1(a)(1)(iv), (c):</w:t>
      </w:r>
      <w:r w:rsidRPr="00FF1EAA">
        <w:rPr>
          <w:rFonts w:ascii="Times New Roman" w:hAnsi="Times New Roman" w:cs="Times New Roman"/>
          <w:bCs/>
          <w:sz w:val="24"/>
          <w:szCs w:val="24"/>
        </w:rPr>
        <w:t xml:space="preserve"> IJs have authority and discretion to handle cases appropriately.</w:t>
      </w:r>
    </w:p>
    <w:p w14:paraId="10E3F1DE" w14:textId="77777777" w:rsidR="00077658" w:rsidRPr="00FF1EAA" w:rsidRDefault="00077658" w:rsidP="00297541">
      <w:pPr>
        <w:spacing w:after="0"/>
        <w:rPr>
          <w:rFonts w:ascii="Times New Roman" w:hAnsi="Times New Roman" w:cs="Times New Roman"/>
          <w:b/>
          <w:sz w:val="24"/>
          <w:szCs w:val="24"/>
        </w:rPr>
      </w:pPr>
    </w:p>
    <w:p w14:paraId="0C49FC54" w14:textId="19C7F3BC" w:rsidR="00077658" w:rsidRPr="00FF1EAA" w:rsidRDefault="00077658" w:rsidP="00297541">
      <w:pPr>
        <w:spacing w:after="0"/>
        <w:rPr>
          <w:rFonts w:ascii="Times New Roman" w:hAnsi="Times New Roman" w:cs="Times New Roman"/>
          <w:b/>
          <w:sz w:val="24"/>
          <w:szCs w:val="24"/>
        </w:rPr>
      </w:pPr>
      <w:r w:rsidRPr="00FF1EAA">
        <w:rPr>
          <w:rFonts w:ascii="Times New Roman" w:hAnsi="Times New Roman" w:cs="Times New Roman"/>
          <w:b/>
          <w:sz w:val="24"/>
          <w:szCs w:val="24"/>
        </w:rPr>
        <w:t>Quotes:</w:t>
      </w:r>
    </w:p>
    <w:p w14:paraId="26DE35AF" w14:textId="44A402BC" w:rsidR="001D6E20" w:rsidRPr="00FF1EAA" w:rsidRDefault="001D6E20" w:rsidP="001D6E20">
      <w:pPr>
        <w:pStyle w:val="ListParagraph"/>
        <w:numPr>
          <w:ilvl w:val="0"/>
          <w:numId w:val="2"/>
        </w:numPr>
        <w:spacing w:after="0"/>
        <w:rPr>
          <w:rFonts w:ascii="Times New Roman" w:hAnsi="Times New Roman" w:cs="Times New Roman"/>
          <w:b/>
          <w:sz w:val="24"/>
          <w:szCs w:val="24"/>
        </w:rPr>
      </w:pPr>
      <w:r w:rsidRPr="00FF1EAA">
        <w:rPr>
          <w:rFonts w:ascii="Times New Roman" w:hAnsi="Times New Roman" w:cs="Times New Roman"/>
          <w:bCs/>
          <w:sz w:val="24"/>
          <w:szCs w:val="24"/>
        </w:rPr>
        <w:t xml:space="preserve">“Administrative closure is a procedural tool created for the convenience of the Immigration Courts and the Board.” </w:t>
      </w:r>
      <w:r w:rsidR="00FF1EAA" w:rsidRPr="00FF1EAA">
        <w:rPr>
          <w:rFonts w:ascii="Times New Roman" w:hAnsi="Times New Roman" w:cs="Times New Roman"/>
          <w:bCs/>
          <w:i/>
          <w:iCs/>
          <w:sz w:val="24"/>
          <w:szCs w:val="24"/>
        </w:rPr>
        <w:t>Matter of Avetisyan</w:t>
      </w:r>
      <w:r w:rsidR="00FF1EAA" w:rsidRPr="00FF1EAA">
        <w:rPr>
          <w:rFonts w:ascii="Times New Roman" w:hAnsi="Times New Roman" w:cs="Times New Roman"/>
          <w:bCs/>
          <w:sz w:val="24"/>
          <w:szCs w:val="24"/>
        </w:rPr>
        <w:t xml:space="preserve">, 25 I&amp;N Dec. </w:t>
      </w:r>
      <w:r w:rsidR="00FF1EAA">
        <w:rPr>
          <w:rFonts w:ascii="Times New Roman" w:hAnsi="Times New Roman" w:cs="Times New Roman"/>
          <w:bCs/>
          <w:sz w:val="24"/>
          <w:szCs w:val="24"/>
        </w:rPr>
        <w:t>at</w:t>
      </w:r>
      <w:r w:rsidR="00FF1EAA" w:rsidRPr="00FF1EAA">
        <w:rPr>
          <w:rFonts w:ascii="Times New Roman" w:hAnsi="Times New Roman" w:cs="Times New Roman"/>
          <w:bCs/>
          <w:sz w:val="24"/>
          <w:szCs w:val="24"/>
        </w:rPr>
        <w:t xml:space="preserve"> </w:t>
      </w:r>
      <w:r w:rsidRPr="00FF1EAA">
        <w:rPr>
          <w:rFonts w:ascii="Times New Roman" w:hAnsi="Times New Roman" w:cs="Times New Roman"/>
          <w:bCs/>
          <w:sz w:val="24"/>
          <w:szCs w:val="24"/>
        </w:rPr>
        <w:t>690</w:t>
      </w:r>
      <w:r w:rsidR="00FF1EAA">
        <w:rPr>
          <w:rFonts w:ascii="Times New Roman" w:hAnsi="Times New Roman" w:cs="Times New Roman"/>
          <w:bCs/>
          <w:sz w:val="24"/>
          <w:szCs w:val="24"/>
        </w:rPr>
        <w:t>.</w:t>
      </w:r>
    </w:p>
    <w:p w14:paraId="6309BDBD" w14:textId="77777777" w:rsidR="00FF1EAA" w:rsidRPr="00FF1EAA" w:rsidRDefault="00FF1EAA" w:rsidP="00FF1EAA">
      <w:pPr>
        <w:pStyle w:val="ListParagraph"/>
        <w:spacing w:after="0"/>
        <w:rPr>
          <w:rFonts w:ascii="Times New Roman" w:hAnsi="Times New Roman" w:cs="Times New Roman"/>
          <w:b/>
          <w:sz w:val="24"/>
          <w:szCs w:val="24"/>
        </w:rPr>
      </w:pPr>
    </w:p>
    <w:p w14:paraId="0A472BE5" w14:textId="7C447CD1" w:rsidR="001D6E20" w:rsidRPr="00FF1EAA" w:rsidRDefault="001D6E20" w:rsidP="001D6E20">
      <w:pPr>
        <w:pStyle w:val="ListParagraph"/>
        <w:numPr>
          <w:ilvl w:val="0"/>
          <w:numId w:val="2"/>
        </w:numPr>
        <w:spacing w:after="0"/>
        <w:rPr>
          <w:rFonts w:ascii="Times New Roman" w:hAnsi="Times New Roman" w:cs="Times New Roman"/>
          <w:b/>
          <w:sz w:val="24"/>
          <w:szCs w:val="24"/>
        </w:rPr>
      </w:pPr>
      <w:r w:rsidRPr="00FF1EAA">
        <w:rPr>
          <w:rFonts w:ascii="Times New Roman" w:hAnsi="Times New Roman" w:cs="Times New Roman"/>
          <w:bCs/>
          <w:sz w:val="24"/>
          <w:szCs w:val="24"/>
        </w:rPr>
        <w:t xml:space="preserve">“We now find that it is improper to afford absolute deference to a party’s objection, and we hold that an Immigration Judge or the Board has the authority to administratively close a case, even if a party opposes, if it is otherwise appropriate under the circumstances.” </w:t>
      </w:r>
      <w:r w:rsidR="00FF1EAA" w:rsidRPr="00FF1EAA">
        <w:rPr>
          <w:rFonts w:ascii="Times New Roman" w:hAnsi="Times New Roman" w:cs="Times New Roman"/>
          <w:bCs/>
          <w:i/>
          <w:iCs/>
          <w:sz w:val="24"/>
          <w:szCs w:val="24"/>
        </w:rPr>
        <w:t>Matter of Avetisyan</w:t>
      </w:r>
      <w:r w:rsidR="00FF1EAA" w:rsidRPr="00FF1EAA">
        <w:rPr>
          <w:rFonts w:ascii="Times New Roman" w:hAnsi="Times New Roman" w:cs="Times New Roman"/>
          <w:bCs/>
          <w:sz w:val="24"/>
          <w:szCs w:val="24"/>
        </w:rPr>
        <w:t xml:space="preserve">, 25 I&amp;N Dec. </w:t>
      </w:r>
      <w:r w:rsidR="00FF1EAA">
        <w:rPr>
          <w:rFonts w:ascii="Times New Roman" w:hAnsi="Times New Roman" w:cs="Times New Roman"/>
          <w:bCs/>
          <w:sz w:val="24"/>
          <w:szCs w:val="24"/>
        </w:rPr>
        <w:t xml:space="preserve">at </w:t>
      </w:r>
      <w:r w:rsidRPr="00FF1EAA">
        <w:rPr>
          <w:rFonts w:ascii="Times New Roman" w:hAnsi="Times New Roman" w:cs="Times New Roman"/>
          <w:bCs/>
          <w:sz w:val="24"/>
          <w:szCs w:val="24"/>
        </w:rPr>
        <w:t>690</w:t>
      </w:r>
      <w:r w:rsidR="00FF1EAA">
        <w:rPr>
          <w:rFonts w:ascii="Times New Roman" w:hAnsi="Times New Roman" w:cs="Times New Roman"/>
          <w:bCs/>
          <w:sz w:val="24"/>
          <w:szCs w:val="24"/>
        </w:rPr>
        <w:t>.</w:t>
      </w:r>
    </w:p>
    <w:p w14:paraId="23BE1C6A" w14:textId="77777777" w:rsidR="001D6E20" w:rsidRPr="00FF1EAA" w:rsidRDefault="001D6E20" w:rsidP="001D6E20">
      <w:pPr>
        <w:pStyle w:val="ListParagraph"/>
        <w:spacing w:after="0"/>
        <w:rPr>
          <w:rFonts w:ascii="Times New Roman" w:hAnsi="Times New Roman" w:cs="Times New Roman"/>
          <w:b/>
          <w:sz w:val="24"/>
          <w:szCs w:val="24"/>
        </w:rPr>
      </w:pPr>
    </w:p>
    <w:p w14:paraId="54FDD114" w14:textId="24C59FE0" w:rsidR="001D6E20" w:rsidRPr="00FF1EAA" w:rsidRDefault="001D6E20" w:rsidP="001D6E20">
      <w:pPr>
        <w:pStyle w:val="ListParagraph"/>
        <w:numPr>
          <w:ilvl w:val="0"/>
          <w:numId w:val="2"/>
        </w:numPr>
        <w:spacing w:after="0"/>
        <w:rPr>
          <w:rFonts w:ascii="Times New Roman" w:hAnsi="Times New Roman" w:cs="Times New Roman"/>
          <w:b/>
          <w:sz w:val="24"/>
          <w:szCs w:val="24"/>
        </w:rPr>
      </w:pPr>
      <w:r w:rsidRPr="00C54626">
        <w:rPr>
          <w:rFonts w:ascii="Times New Roman" w:hAnsi="Times New Roman" w:cs="Times New Roman"/>
          <w:bCs/>
          <w:sz w:val="24"/>
          <w:szCs w:val="24"/>
          <w:u w:val="single"/>
        </w:rPr>
        <w:t xml:space="preserve">Interpreting </w:t>
      </w:r>
      <w:r w:rsidRPr="00C54626">
        <w:rPr>
          <w:rFonts w:ascii="Times New Roman" w:hAnsi="Times New Roman" w:cs="Times New Roman"/>
          <w:b/>
          <w:sz w:val="24"/>
          <w:szCs w:val="24"/>
          <w:u w:val="single"/>
        </w:rPr>
        <w:t>8 C.F.R. § 1240.1(a)(1)(iv), (c):</w:t>
      </w:r>
      <w:r w:rsidRPr="00FF1EAA">
        <w:rPr>
          <w:rFonts w:ascii="Times New Roman" w:hAnsi="Times New Roman" w:cs="Times New Roman"/>
          <w:bCs/>
          <w:sz w:val="24"/>
          <w:szCs w:val="24"/>
        </w:rPr>
        <w:t xml:space="preserve"> “An Immigration Judge has the authority to regulate the course of the hearing and to take any action consistent with applicable law and regulations as may be appropriate.”</w:t>
      </w:r>
      <w:r w:rsidR="00FF1EAA">
        <w:rPr>
          <w:rFonts w:ascii="Times New Roman" w:hAnsi="Times New Roman" w:cs="Times New Roman"/>
          <w:bCs/>
          <w:sz w:val="24"/>
          <w:szCs w:val="24"/>
        </w:rPr>
        <w:t xml:space="preserve"> </w:t>
      </w:r>
      <w:r w:rsidR="00FF1EAA" w:rsidRPr="00FF1EAA">
        <w:rPr>
          <w:rFonts w:ascii="Times New Roman" w:hAnsi="Times New Roman" w:cs="Times New Roman"/>
          <w:bCs/>
          <w:i/>
          <w:iCs/>
          <w:sz w:val="24"/>
          <w:szCs w:val="24"/>
        </w:rPr>
        <w:t>Matter of Avetisyan</w:t>
      </w:r>
      <w:r w:rsidR="00FF1EAA" w:rsidRPr="00FF1EAA">
        <w:rPr>
          <w:rFonts w:ascii="Times New Roman" w:hAnsi="Times New Roman" w:cs="Times New Roman"/>
          <w:bCs/>
          <w:sz w:val="24"/>
          <w:szCs w:val="24"/>
        </w:rPr>
        <w:t xml:space="preserve">, 25 I&amp;N Dec. </w:t>
      </w:r>
      <w:r w:rsidR="00FF1EAA">
        <w:rPr>
          <w:rFonts w:ascii="Times New Roman" w:hAnsi="Times New Roman" w:cs="Times New Roman"/>
          <w:bCs/>
          <w:sz w:val="24"/>
          <w:szCs w:val="24"/>
        </w:rPr>
        <w:t>at 691.</w:t>
      </w:r>
    </w:p>
    <w:p w14:paraId="284AE13B" w14:textId="77777777" w:rsidR="001D6E20" w:rsidRPr="00FF1EAA" w:rsidRDefault="001D6E20" w:rsidP="001D6E20">
      <w:pPr>
        <w:pStyle w:val="ListParagraph"/>
        <w:rPr>
          <w:rFonts w:ascii="Times New Roman" w:hAnsi="Times New Roman" w:cs="Times New Roman"/>
          <w:b/>
          <w:sz w:val="24"/>
          <w:szCs w:val="24"/>
        </w:rPr>
      </w:pPr>
    </w:p>
    <w:p w14:paraId="4D4A2AB3" w14:textId="550E8749" w:rsidR="001D6E20" w:rsidRPr="00FF1EAA" w:rsidRDefault="001D6E20" w:rsidP="001D6E20">
      <w:pPr>
        <w:pStyle w:val="ListParagraph"/>
        <w:numPr>
          <w:ilvl w:val="0"/>
          <w:numId w:val="2"/>
        </w:numPr>
        <w:spacing w:after="0"/>
        <w:rPr>
          <w:rFonts w:ascii="Times New Roman" w:hAnsi="Times New Roman" w:cs="Times New Roman"/>
          <w:b/>
          <w:sz w:val="24"/>
          <w:szCs w:val="24"/>
        </w:rPr>
      </w:pPr>
      <w:r w:rsidRPr="00C54626">
        <w:rPr>
          <w:rFonts w:ascii="Times New Roman" w:hAnsi="Times New Roman" w:cs="Times New Roman"/>
          <w:bCs/>
          <w:sz w:val="24"/>
          <w:szCs w:val="24"/>
          <w:u w:val="single"/>
        </w:rPr>
        <w:t>Interpreting</w:t>
      </w:r>
      <w:r w:rsidRPr="00C54626">
        <w:rPr>
          <w:rFonts w:ascii="Times New Roman" w:hAnsi="Times New Roman" w:cs="Times New Roman"/>
          <w:b/>
          <w:sz w:val="24"/>
          <w:szCs w:val="24"/>
          <w:u w:val="single"/>
        </w:rPr>
        <w:t xml:space="preserve"> 8 C.F.R. § 1003.10(b):</w:t>
      </w:r>
      <w:r w:rsidRPr="00FF1EAA">
        <w:rPr>
          <w:rFonts w:ascii="Times New Roman" w:hAnsi="Times New Roman" w:cs="Times New Roman"/>
          <w:bCs/>
          <w:sz w:val="24"/>
          <w:szCs w:val="24"/>
        </w:rPr>
        <w:t xml:space="preserve"> “In deciding individual cases, an Immigration Judge must exercise his or her independent judgment and discretion and may take any action consistent with the Act and regulations that is appropriate and necessary for the disposition of such cases.” </w:t>
      </w:r>
      <w:r w:rsidR="00FF1EAA" w:rsidRPr="00FF1EAA">
        <w:rPr>
          <w:rFonts w:ascii="Times New Roman" w:hAnsi="Times New Roman" w:cs="Times New Roman"/>
          <w:bCs/>
          <w:i/>
          <w:iCs/>
          <w:sz w:val="24"/>
          <w:szCs w:val="24"/>
        </w:rPr>
        <w:t>Matter of Avetisyan</w:t>
      </w:r>
      <w:r w:rsidR="00FF1EAA" w:rsidRPr="00FF1EAA">
        <w:rPr>
          <w:rFonts w:ascii="Times New Roman" w:hAnsi="Times New Roman" w:cs="Times New Roman"/>
          <w:bCs/>
          <w:sz w:val="24"/>
          <w:szCs w:val="24"/>
        </w:rPr>
        <w:t xml:space="preserve">, 25 I&amp;N Dec. </w:t>
      </w:r>
      <w:r w:rsidR="00FF1EAA">
        <w:rPr>
          <w:rFonts w:ascii="Times New Roman" w:hAnsi="Times New Roman" w:cs="Times New Roman"/>
          <w:bCs/>
          <w:sz w:val="24"/>
          <w:szCs w:val="24"/>
        </w:rPr>
        <w:t xml:space="preserve">at </w:t>
      </w:r>
      <w:r w:rsidRPr="00FF1EAA">
        <w:rPr>
          <w:rFonts w:ascii="Times New Roman" w:hAnsi="Times New Roman" w:cs="Times New Roman"/>
          <w:bCs/>
          <w:sz w:val="24"/>
          <w:szCs w:val="24"/>
        </w:rPr>
        <w:t>691</w:t>
      </w:r>
      <w:r w:rsidR="00FF1EAA">
        <w:rPr>
          <w:rFonts w:ascii="Times New Roman" w:hAnsi="Times New Roman" w:cs="Times New Roman"/>
          <w:bCs/>
          <w:sz w:val="24"/>
          <w:szCs w:val="24"/>
        </w:rPr>
        <w:t>.</w:t>
      </w:r>
    </w:p>
    <w:p w14:paraId="0166C740" w14:textId="77777777" w:rsidR="00FF1EAA" w:rsidRPr="00FF1EAA" w:rsidRDefault="00FF1EAA" w:rsidP="00FF1EAA">
      <w:pPr>
        <w:pStyle w:val="ListParagraph"/>
        <w:rPr>
          <w:rFonts w:ascii="Times New Roman" w:hAnsi="Times New Roman" w:cs="Times New Roman"/>
          <w:b/>
          <w:sz w:val="24"/>
          <w:szCs w:val="24"/>
        </w:rPr>
      </w:pPr>
    </w:p>
    <w:p w14:paraId="465336B6" w14:textId="07C0D487" w:rsidR="00FF1EAA" w:rsidRPr="00FF1EAA" w:rsidRDefault="00FF1EAA" w:rsidP="001D6E20">
      <w:pPr>
        <w:pStyle w:val="ListParagraph"/>
        <w:numPr>
          <w:ilvl w:val="0"/>
          <w:numId w:val="2"/>
        </w:numPr>
        <w:spacing w:after="0"/>
        <w:rPr>
          <w:rFonts w:ascii="Times New Roman" w:hAnsi="Times New Roman" w:cs="Times New Roman"/>
          <w:b/>
          <w:sz w:val="24"/>
          <w:szCs w:val="24"/>
        </w:rPr>
      </w:pPr>
      <w:r w:rsidRPr="00C54626">
        <w:rPr>
          <w:rFonts w:ascii="Times New Roman" w:hAnsi="Times New Roman" w:cs="Times New Roman"/>
          <w:bCs/>
          <w:sz w:val="24"/>
          <w:szCs w:val="24"/>
          <w:u w:val="single"/>
        </w:rPr>
        <w:t xml:space="preserve">Interpreting </w:t>
      </w:r>
      <w:r w:rsidRPr="00C54626">
        <w:rPr>
          <w:rFonts w:ascii="Times New Roman" w:hAnsi="Times New Roman" w:cs="Times New Roman"/>
          <w:b/>
          <w:sz w:val="24"/>
          <w:szCs w:val="24"/>
          <w:u w:val="single"/>
        </w:rPr>
        <w:t>8 C.F.R. § 1003.1(d)(1):</w:t>
      </w:r>
      <w:r w:rsidRPr="00FF1EAA">
        <w:rPr>
          <w:rFonts w:ascii="Times New Roman" w:hAnsi="Times New Roman" w:cs="Times New Roman"/>
          <w:bCs/>
          <w:sz w:val="24"/>
          <w:szCs w:val="24"/>
        </w:rPr>
        <w:t xml:space="preserve"> “Board Members must exercise </w:t>
      </w:r>
      <w:r>
        <w:rPr>
          <w:rFonts w:ascii="Times New Roman" w:hAnsi="Times New Roman" w:cs="Times New Roman"/>
          <w:bCs/>
          <w:sz w:val="24"/>
          <w:szCs w:val="24"/>
        </w:rPr>
        <w:t xml:space="preserve">independent judgment and discretion in considering and determining the cases coming before them, and they may take any action consistent with their authority under the Act and the regulations as is appropriate and necessary for the disposition of the case.”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25 I&amp;N Dec.</w:t>
      </w:r>
      <w:r>
        <w:rPr>
          <w:rFonts w:ascii="Times New Roman" w:hAnsi="Times New Roman" w:cs="Times New Roman"/>
          <w:bCs/>
          <w:sz w:val="24"/>
          <w:szCs w:val="24"/>
        </w:rPr>
        <w:t xml:space="preserve"> at 691.</w:t>
      </w:r>
    </w:p>
    <w:p w14:paraId="7AC84DCB" w14:textId="77777777" w:rsidR="00FF1EAA" w:rsidRPr="00FF1EAA" w:rsidRDefault="00FF1EAA" w:rsidP="00FF1EAA">
      <w:pPr>
        <w:pStyle w:val="ListParagraph"/>
        <w:rPr>
          <w:rFonts w:ascii="Times New Roman" w:hAnsi="Times New Roman" w:cs="Times New Roman"/>
          <w:b/>
          <w:sz w:val="24"/>
          <w:szCs w:val="24"/>
        </w:rPr>
      </w:pPr>
    </w:p>
    <w:p w14:paraId="0BA602DB" w14:textId="2DD39BA0" w:rsidR="00FF1EAA" w:rsidRDefault="00FF1EAA" w:rsidP="001D6E20">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“During the course of proceedings, an Immigration Judge or the Board may find it necessary, or in the interests of justice and fairness to the parties, prudent to defer further action for some period of time.”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691.</w:t>
      </w:r>
    </w:p>
    <w:p w14:paraId="448FDC68" w14:textId="77777777" w:rsidR="00FF1EAA" w:rsidRPr="00FF1EAA" w:rsidRDefault="00FF1EAA" w:rsidP="00FF1EAA">
      <w:pPr>
        <w:pStyle w:val="ListParagraph"/>
        <w:rPr>
          <w:rFonts w:ascii="Times New Roman" w:hAnsi="Times New Roman" w:cs="Times New Roman"/>
          <w:bCs/>
          <w:sz w:val="24"/>
          <w:szCs w:val="24"/>
        </w:rPr>
      </w:pPr>
    </w:p>
    <w:p w14:paraId="2A0608E4" w14:textId="60C8FE86" w:rsidR="00FF1EAA" w:rsidRDefault="00FF1EAA" w:rsidP="00FF1EAA">
      <w:pPr>
        <w:pStyle w:val="ListParagraph"/>
        <w:numPr>
          <w:ilvl w:val="1"/>
          <w:numId w:val="2"/>
        </w:numPr>
        <w:spacing w:after="0"/>
        <w:rPr>
          <w:rFonts w:ascii="Times New Roman" w:hAnsi="Times New Roman" w:cs="Times New Roman"/>
          <w:bCs/>
          <w:sz w:val="24"/>
          <w:szCs w:val="24"/>
        </w:rPr>
      </w:pPr>
      <w:r w:rsidRPr="00C54626">
        <w:rPr>
          <w:rFonts w:ascii="Times New Roman" w:hAnsi="Times New Roman" w:cs="Times New Roman"/>
          <w:bCs/>
          <w:sz w:val="24"/>
          <w:szCs w:val="24"/>
          <w:u w:val="single"/>
        </w:rPr>
        <w:t>Continuances:</w:t>
      </w:r>
      <w:r>
        <w:rPr>
          <w:rFonts w:ascii="Times New Roman" w:hAnsi="Times New Roman" w:cs="Times New Roman"/>
          <w:bCs/>
          <w:sz w:val="24"/>
          <w:szCs w:val="24"/>
        </w:rPr>
        <w:t xml:space="preserve"> “Because it keeps a case on the Immigration Judge’s active calendar, a continuance may be appropriately utilized to await additional action required of the parties that will be, or is expected to be, completed within a reasonably certain and brief amount of time.”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691.</w:t>
      </w:r>
    </w:p>
    <w:p w14:paraId="19D95557" w14:textId="1456D350" w:rsidR="00C54626" w:rsidRDefault="00C54626" w:rsidP="00C54626">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u w:val="single"/>
        </w:rPr>
        <w:t>Administrative Closure:</w:t>
      </w:r>
      <w:r>
        <w:rPr>
          <w:rFonts w:ascii="Times New Roman" w:hAnsi="Times New Roman" w:cs="Times New Roman"/>
          <w:bCs/>
          <w:sz w:val="24"/>
          <w:szCs w:val="24"/>
        </w:rPr>
        <w:t xml:space="preserve"> “…used to temporarily remove a case from an Immigration Judge’s active calendar or from the Board’s docket</w:t>
      </w:r>
      <w:proofErr w:type="gramStart"/>
      <w:r>
        <w:rPr>
          <w:rFonts w:ascii="Times New Roman" w:hAnsi="Times New Roman" w:cs="Times New Roman"/>
          <w:bCs/>
          <w:sz w:val="24"/>
          <w:szCs w:val="24"/>
        </w:rPr>
        <w:t>. . . .</w:t>
      </w:r>
      <w:proofErr w:type="gramEnd"/>
      <w:r>
        <w:rPr>
          <w:rFonts w:ascii="Times New Roman" w:hAnsi="Times New Roman" w:cs="Times New Roman"/>
          <w:bCs/>
          <w:sz w:val="24"/>
          <w:szCs w:val="24"/>
        </w:rPr>
        <w:t xml:space="preserve"> </w:t>
      </w:r>
      <w:r w:rsidRPr="00C54626">
        <w:rPr>
          <w:rFonts w:ascii="Times New Roman" w:hAnsi="Times New Roman" w:cs="Times New Roman"/>
          <w:b/>
          <w:sz w:val="24"/>
          <w:szCs w:val="24"/>
        </w:rPr>
        <w:t>In general, administrative closure may be appropriate to await an action or even that is relevant to immigration proceedings but is outside the control of the parties or the court and may not occur for a significant or undetermined period of time.”</w:t>
      </w:r>
      <w:r>
        <w:rPr>
          <w:rFonts w:ascii="Times New Roman" w:hAnsi="Times New Roman" w:cs="Times New Roman"/>
          <w:bCs/>
          <w:sz w:val="24"/>
          <w:szCs w:val="24"/>
        </w:rPr>
        <w:t xml:space="preserv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692.</w:t>
      </w:r>
    </w:p>
    <w:p w14:paraId="61F552F7" w14:textId="77777777" w:rsidR="00C54626" w:rsidRDefault="00C54626" w:rsidP="00C54626">
      <w:pPr>
        <w:pStyle w:val="ListParagraph"/>
        <w:spacing w:after="0"/>
        <w:ind w:left="1440"/>
        <w:rPr>
          <w:rFonts w:ascii="Times New Roman" w:hAnsi="Times New Roman" w:cs="Times New Roman"/>
          <w:bCs/>
          <w:sz w:val="24"/>
          <w:szCs w:val="24"/>
        </w:rPr>
      </w:pPr>
    </w:p>
    <w:p w14:paraId="327D84A7" w14:textId="0623E5BC" w:rsidR="00C54626" w:rsidRDefault="00C54626" w:rsidP="00C546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“More importantly, the rule stated in </w:t>
      </w:r>
      <w:r>
        <w:rPr>
          <w:rFonts w:ascii="Times New Roman" w:hAnsi="Times New Roman" w:cs="Times New Roman"/>
          <w:bCs/>
          <w:i/>
          <w:iCs/>
          <w:sz w:val="24"/>
          <w:szCs w:val="24"/>
        </w:rPr>
        <w:t>Gutierrez</w:t>
      </w:r>
      <w:r>
        <w:rPr>
          <w:rFonts w:ascii="Times New Roman" w:hAnsi="Times New Roman" w:cs="Times New Roman"/>
          <w:bCs/>
          <w:sz w:val="24"/>
          <w:szCs w:val="24"/>
        </w:rPr>
        <w:t xml:space="preserve"> directly conflicts with the delegated authority of the Immigration Judges and the Board and their responsibility to exercise independent judgment and discretion in adjudicating cases and to take any action </w:t>
      </w:r>
      <w:r>
        <w:rPr>
          <w:rFonts w:ascii="Times New Roman" w:hAnsi="Times New Roman" w:cs="Times New Roman"/>
          <w:bCs/>
          <w:sz w:val="24"/>
          <w:szCs w:val="24"/>
        </w:rPr>
        <w:lastRenderedPageBreak/>
        <w:t xml:space="preserve">necessary and appropriate for the disposition of the case.”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693.</w:t>
      </w:r>
    </w:p>
    <w:p w14:paraId="2A3118F1" w14:textId="77777777" w:rsidR="00C54626" w:rsidRDefault="00C54626" w:rsidP="00C54626">
      <w:pPr>
        <w:pStyle w:val="ListParagraph"/>
        <w:spacing w:after="0"/>
        <w:rPr>
          <w:rFonts w:ascii="Times New Roman" w:hAnsi="Times New Roman" w:cs="Times New Roman"/>
          <w:bCs/>
          <w:sz w:val="24"/>
          <w:szCs w:val="24"/>
        </w:rPr>
      </w:pPr>
    </w:p>
    <w:p w14:paraId="336D60B6" w14:textId="617B9761" w:rsidR="00C54626" w:rsidRDefault="00C54626" w:rsidP="00C54626">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 courts indicated that permitting the DHS to unilaterally block such a motion to reopen interfered with the Board’s exercise of its independent judgment and discretion.”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693.</w:t>
      </w:r>
    </w:p>
    <w:p w14:paraId="7ABCE2F2" w14:textId="77777777" w:rsidR="00C54626" w:rsidRPr="00C54626" w:rsidRDefault="00C54626" w:rsidP="00C54626">
      <w:pPr>
        <w:pStyle w:val="ListParagraph"/>
        <w:rPr>
          <w:rFonts w:ascii="Times New Roman" w:hAnsi="Times New Roman" w:cs="Times New Roman"/>
          <w:bCs/>
          <w:sz w:val="24"/>
          <w:szCs w:val="24"/>
        </w:rPr>
      </w:pPr>
    </w:p>
    <w:p w14:paraId="7D9A8019" w14:textId="17106715" w:rsidR="00077658" w:rsidRDefault="00077658" w:rsidP="00297541">
      <w:pPr>
        <w:spacing w:after="0"/>
        <w:rPr>
          <w:rFonts w:ascii="Times New Roman" w:hAnsi="Times New Roman" w:cs="Times New Roman"/>
          <w:b/>
          <w:sz w:val="24"/>
          <w:szCs w:val="24"/>
        </w:rPr>
      </w:pPr>
      <w:r w:rsidRPr="00FF1EAA">
        <w:rPr>
          <w:rFonts w:ascii="Times New Roman" w:hAnsi="Times New Roman" w:cs="Times New Roman"/>
          <w:b/>
          <w:sz w:val="24"/>
          <w:szCs w:val="24"/>
        </w:rPr>
        <w:t>Commentary:</w:t>
      </w:r>
    </w:p>
    <w:p w14:paraId="6B4F3CD6" w14:textId="78337FE1" w:rsidR="00C54626" w:rsidRPr="00C54626" w:rsidRDefault="00C54626" w:rsidP="00C54626">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Cs/>
          <w:sz w:val="24"/>
          <w:szCs w:val="24"/>
        </w:rPr>
        <w:t>Note the presupposition here: IJs and the Board are statutorily authorized to exercise independent judgment and discretion in how they handle cases, and administrative closure is assumed to be one of the appropriate tools they can use.</w:t>
      </w:r>
    </w:p>
    <w:sectPr w:rsidR="00C54626" w:rsidRPr="00C54626"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299ADF" w14:textId="77777777" w:rsidR="0008314D" w:rsidRDefault="0008314D" w:rsidP="00077658">
      <w:pPr>
        <w:spacing w:after="0" w:line="240" w:lineRule="auto"/>
      </w:pPr>
      <w:r>
        <w:separator/>
      </w:r>
    </w:p>
  </w:endnote>
  <w:endnote w:type="continuationSeparator" w:id="0">
    <w:p w14:paraId="34F734CA" w14:textId="77777777" w:rsidR="0008314D" w:rsidRDefault="0008314D"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E70137" w14:textId="77777777" w:rsidR="0008314D" w:rsidRDefault="0008314D" w:rsidP="00077658">
      <w:pPr>
        <w:spacing w:after="0" w:line="240" w:lineRule="auto"/>
      </w:pPr>
      <w:r>
        <w:separator/>
      </w:r>
    </w:p>
  </w:footnote>
  <w:footnote w:type="continuationSeparator" w:id="0">
    <w:p w14:paraId="0C8E50D3" w14:textId="77777777" w:rsidR="0008314D" w:rsidRDefault="0008314D"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D7D27" w14:textId="1396BA0F" w:rsidR="00077658" w:rsidRDefault="00077658">
    <w:pPr>
      <w:pStyle w:val="Header"/>
    </w:pPr>
    <w:r>
      <w:t>Immigration Court</w:t>
    </w:r>
    <w:r w:rsidR="00297541">
      <w:t>: BIA</w:t>
    </w:r>
    <w:r>
      <w:ptab w:relativeTo="margin" w:alignment="center" w:leader="none"/>
    </w:r>
    <w:r w:rsidR="00297541">
      <w:t>2012</w:t>
    </w:r>
    <w:r>
      <w:ptab w:relativeTo="margin" w:alignment="right" w:leader="none"/>
    </w:r>
    <w:r w:rsidR="00297541">
      <w:t>Matter of Avetisyan</w:t>
    </w:r>
  </w:p>
  <w:p w14:paraId="2626FDB6" w14:textId="56078B6F" w:rsidR="00077658" w:rsidRDefault="00297541" w:rsidP="00077658">
    <w:pPr>
      <w:pStyle w:val="Header"/>
      <w:jc w:val="right"/>
    </w:pPr>
    <w:r>
      <w:t>ADMINISTRATIVE CLOSURE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3A3255"/>
    <w:multiLevelType w:val="hybridMultilevel"/>
    <w:tmpl w:val="B52A9EA6"/>
    <w:lvl w:ilvl="0" w:tplc="3A9A8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226522A"/>
    <w:multiLevelType w:val="hybridMultilevel"/>
    <w:tmpl w:val="7E0E6622"/>
    <w:lvl w:ilvl="0" w:tplc="54F49E8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77658"/>
    <w:rsid w:val="0008314D"/>
    <w:rsid w:val="001D6E20"/>
    <w:rsid w:val="00297541"/>
    <w:rsid w:val="008D38E0"/>
    <w:rsid w:val="009142DC"/>
    <w:rsid w:val="00B13A5E"/>
    <w:rsid w:val="00B423AB"/>
    <w:rsid w:val="00C54626"/>
    <w:rsid w:val="00CE41B9"/>
    <w:rsid w:val="00E70095"/>
    <w:rsid w:val="00FF1E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7347D"/>
  <w15:docId w15:val="{A9CA61C8-EFFA-435A-ACD4-1DCA60763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2975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758</Words>
  <Characters>4325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2</cp:revision>
  <dcterms:created xsi:type="dcterms:W3CDTF">2019-11-18T20:41:00Z</dcterms:created>
  <dcterms:modified xsi:type="dcterms:W3CDTF">2019-11-18T20:41:00Z</dcterms:modified>
</cp:coreProperties>
</file>