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69D917" w14:textId="07EEEEAE" w:rsidR="004E5C23" w:rsidRPr="00F835C4" w:rsidRDefault="00F835C4" w:rsidP="004E5C23">
      <w:pPr>
        <w:jc w:val="center"/>
        <w:rPr>
          <w:rFonts w:ascii="Times New Roman" w:hAnsi="Times New Roman" w:cs="Times New Roman"/>
          <w:b/>
          <w:bCs/>
          <w:sz w:val="24"/>
          <w:szCs w:val="24"/>
        </w:rPr>
      </w:pPr>
      <w:r w:rsidRPr="00F835C4">
        <w:rPr>
          <w:rFonts w:ascii="Times New Roman" w:hAnsi="Times New Roman" w:cs="Times New Roman"/>
          <w:b/>
          <w:bCs/>
          <w:sz w:val="24"/>
          <w:szCs w:val="24"/>
        </w:rPr>
        <w:t xml:space="preserve">Fourth Circuit </w:t>
      </w:r>
      <w:r w:rsidR="004E5C23" w:rsidRPr="00F835C4">
        <w:rPr>
          <w:rFonts w:ascii="Times New Roman" w:hAnsi="Times New Roman" w:cs="Times New Roman"/>
          <w:b/>
          <w:bCs/>
          <w:sz w:val="24"/>
          <w:szCs w:val="24"/>
        </w:rPr>
        <w:t>Court</w:t>
      </w:r>
    </w:p>
    <w:p w14:paraId="3F87ED68" w14:textId="6DFE0E88" w:rsidR="004E5C23" w:rsidRPr="00F835C4" w:rsidRDefault="004E5C23" w:rsidP="004E5C23">
      <w:pPr>
        <w:rPr>
          <w:rFonts w:ascii="Times New Roman" w:hAnsi="Times New Roman" w:cs="Times New Roman"/>
          <w:sz w:val="24"/>
          <w:szCs w:val="24"/>
        </w:rPr>
      </w:pPr>
      <w:r w:rsidRPr="00F835C4">
        <w:rPr>
          <w:rFonts w:ascii="Times New Roman" w:hAnsi="Times New Roman" w:cs="Times New Roman"/>
          <w:b/>
          <w:bCs/>
          <w:sz w:val="24"/>
          <w:szCs w:val="24"/>
        </w:rPr>
        <w:t>Case:</w:t>
      </w:r>
      <w:r w:rsidRPr="00F835C4">
        <w:rPr>
          <w:rFonts w:ascii="Times New Roman" w:hAnsi="Times New Roman" w:cs="Times New Roman"/>
          <w:b/>
          <w:bCs/>
          <w:sz w:val="24"/>
          <w:szCs w:val="24"/>
        </w:rPr>
        <w:tab/>
      </w:r>
      <w:r w:rsidR="00F835C4" w:rsidRPr="00F835C4">
        <w:rPr>
          <w:rFonts w:ascii="Times New Roman" w:hAnsi="Times New Roman" w:cs="Times New Roman"/>
          <w:i/>
          <w:iCs/>
          <w:sz w:val="24"/>
          <w:szCs w:val="24"/>
        </w:rPr>
        <w:t>Zuniga Romero v. Barr</w:t>
      </w:r>
      <w:r w:rsidR="00F835C4" w:rsidRPr="00F835C4">
        <w:rPr>
          <w:rFonts w:ascii="Times New Roman" w:hAnsi="Times New Roman" w:cs="Times New Roman"/>
          <w:sz w:val="24"/>
          <w:szCs w:val="24"/>
        </w:rPr>
        <w:t>, No. 18-1850 (4</w:t>
      </w:r>
      <w:r w:rsidR="00F835C4" w:rsidRPr="00F835C4">
        <w:rPr>
          <w:rFonts w:ascii="Times New Roman" w:hAnsi="Times New Roman" w:cs="Times New Roman"/>
          <w:sz w:val="24"/>
          <w:szCs w:val="24"/>
          <w:vertAlign w:val="superscript"/>
        </w:rPr>
        <w:t>th</w:t>
      </w:r>
      <w:r w:rsidR="00F835C4" w:rsidRPr="00F835C4">
        <w:rPr>
          <w:rFonts w:ascii="Times New Roman" w:hAnsi="Times New Roman" w:cs="Times New Roman"/>
          <w:sz w:val="24"/>
          <w:szCs w:val="24"/>
        </w:rPr>
        <w:t xml:space="preserve"> Cir. 8.29.19)</w:t>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t>Date:</w:t>
      </w:r>
      <w:r w:rsidR="00F835C4" w:rsidRPr="00F835C4">
        <w:rPr>
          <w:rFonts w:ascii="Times New Roman" w:hAnsi="Times New Roman" w:cs="Times New Roman"/>
          <w:sz w:val="24"/>
          <w:szCs w:val="24"/>
        </w:rPr>
        <w:t xml:space="preserve"> August 29, 2019</w:t>
      </w:r>
    </w:p>
    <w:p w14:paraId="4E105F40" w14:textId="03DE0F01" w:rsidR="004E5C23" w:rsidRPr="00F835C4" w:rsidRDefault="004E5C23" w:rsidP="004E5C23">
      <w:pPr>
        <w:rPr>
          <w:rFonts w:ascii="Times New Roman" w:hAnsi="Times New Roman" w:cs="Times New Roman"/>
          <w:sz w:val="24"/>
          <w:szCs w:val="24"/>
        </w:rPr>
      </w:pPr>
      <w:r w:rsidRPr="00F835C4">
        <w:rPr>
          <w:rFonts w:ascii="Times New Roman" w:hAnsi="Times New Roman" w:cs="Times New Roman"/>
          <w:b/>
          <w:bCs/>
          <w:sz w:val="24"/>
          <w:szCs w:val="24"/>
        </w:rPr>
        <w:t>Adjudicated by:</w:t>
      </w:r>
      <w:r w:rsidR="00F835C4" w:rsidRPr="00F835C4">
        <w:rPr>
          <w:rFonts w:ascii="Times New Roman" w:hAnsi="Times New Roman" w:cs="Times New Roman"/>
          <w:sz w:val="24"/>
          <w:szCs w:val="24"/>
        </w:rPr>
        <w:t xml:space="preserve"> Agee, Floyd, Thacker</w:t>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t>Opinion:</w:t>
      </w:r>
      <w:r w:rsidR="00F835C4" w:rsidRPr="00F835C4">
        <w:rPr>
          <w:rFonts w:ascii="Times New Roman" w:hAnsi="Times New Roman" w:cs="Times New Roman"/>
          <w:sz w:val="24"/>
          <w:szCs w:val="24"/>
        </w:rPr>
        <w:t xml:space="preserve"> Agee (unanimous)</w:t>
      </w:r>
    </w:p>
    <w:p w14:paraId="108C3014" w14:textId="47B421CC" w:rsidR="004E5C23" w:rsidRPr="00F835C4" w:rsidRDefault="004E5C23" w:rsidP="00F835C4">
      <w:pPr>
        <w:spacing w:after="0"/>
        <w:rPr>
          <w:rFonts w:ascii="Times New Roman" w:hAnsi="Times New Roman" w:cs="Times New Roman"/>
          <w:sz w:val="24"/>
          <w:szCs w:val="24"/>
        </w:rPr>
      </w:pPr>
      <w:r w:rsidRPr="00F835C4">
        <w:rPr>
          <w:rFonts w:ascii="Times New Roman" w:hAnsi="Times New Roman" w:cs="Times New Roman"/>
          <w:b/>
          <w:bCs/>
          <w:sz w:val="24"/>
          <w:szCs w:val="24"/>
        </w:rPr>
        <w:t>Tags:</w:t>
      </w:r>
      <w:r w:rsidR="00F835C4" w:rsidRPr="00F835C4">
        <w:rPr>
          <w:rFonts w:ascii="Times New Roman" w:hAnsi="Times New Roman" w:cs="Times New Roman"/>
          <w:sz w:val="24"/>
          <w:szCs w:val="24"/>
        </w:rPr>
        <w:t xml:space="preserve"> Immigration, BIA, IJs, Attorney General, </w:t>
      </w:r>
      <w:r w:rsidR="00F835C4" w:rsidRPr="00F835C4">
        <w:rPr>
          <w:rFonts w:ascii="Times New Roman" w:hAnsi="Times New Roman" w:cs="Times New Roman"/>
          <w:i/>
          <w:iCs/>
          <w:sz w:val="24"/>
          <w:szCs w:val="24"/>
        </w:rPr>
        <w:t>C</w:t>
      </w:r>
      <w:bookmarkStart w:id="0" w:name="_GoBack"/>
      <w:bookmarkEnd w:id="0"/>
      <w:r w:rsidR="00F835C4" w:rsidRPr="00F835C4">
        <w:rPr>
          <w:rFonts w:ascii="Times New Roman" w:hAnsi="Times New Roman" w:cs="Times New Roman"/>
          <w:i/>
          <w:iCs/>
          <w:sz w:val="24"/>
          <w:szCs w:val="24"/>
        </w:rPr>
        <w:t>astro-Tum</w:t>
      </w:r>
      <w:r w:rsidR="00F835C4" w:rsidRPr="00F835C4">
        <w:rPr>
          <w:rFonts w:ascii="Times New Roman" w:hAnsi="Times New Roman" w:cs="Times New Roman"/>
          <w:sz w:val="24"/>
          <w:szCs w:val="24"/>
        </w:rPr>
        <w:t>, Administrative Closure</w:t>
      </w:r>
    </w:p>
    <w:p w14:paraId="52D60CC4" w14:textId="78B49065" w:rsidR="004E5C23" w:rsidRPr="00F835C4" w:rsidRDefault="004E5C23" w:rsidP="00F835C4">
      <w:pPr>
        <w:spacing w:after="0"/>
        <w:rPr>
          <w:rFonts w:ascii="Times New Roman" w:hAnsi="Times New Roman" w:cs="Times New Roman"/>
          <w:b/>
          <w:bCs/>
          <w:sz w:val="24"/>
          <w:szCs w:val="24"/>
        </w:rPr>
      </w:pPr>
    </w:p>
    <w:p w14:paraId="421460B0" w14:textId="5AC7F37A" w:rsidR="004E5C23" w:rsidRPr="00F835C4" w:rsidRDefault="004E5C23" w:rsidP="00F835C4">
      <w:pPr>
        <w:spacing w:after="0"/>
        <w:rPr>
          <w:rFonts w:ascii="Times New Roman" w:hAnsi="Times New Roman" w:cs="Times New Roman"/>
          <w:sz w:val="24"/>
          <w:szCs w:val="24"/>
        </w:rPr>
      </w:pPr>
      <w:r w:rsidRPr="00F835C4">
        <w:rPr>
          <w:rFonts w:ascii="Times New Roman" w:hAnsi="Times New Roman" w:cs="Times New Roman"/>
          <w:b/>
          <w:bCs/>
          <w:sz w:val="24"/>
          <w:szCs w:val="24"/>
        </w:rPr>
        <w:t>Question Presented:</w:t>
      </w:r>
      <w:r w:rsidR="00F835C4" w:rsidRPr="00F835C4">
        <w:rPr>
          <w:rFonts w:ascii="Times New Roman" w:hAnsi="Times New Roman" w:cs="Times New Roman"/>
          <w:sz w:val="24"/>
          <w:szCs w:val="24"/>
        </w:rPr>
        <w:t xml:space="preserve"> Do IJs and BIA members have the authority to administratively close cases?</w:t>
      </w:r>
    </w:p>
    <w:p w14:paraId="7C5B017A" w14:textId="4A548DD8" w:rsidR="004E5C23" w:rsidRPr="00F835C4" w:rsidRDefault="004E5C23" w:rsidP="00F835C4">
      <w:pPr>
        <w:spacing w:after="0"/>
        <w:rPr>
          <w:rFonts w:ascii="Times New Roman" w:hAnsi="Times New Roman" w:cs="Times New Roman"/>
          <w:b/>
          <w:bCs/>
          <w:sz w:val="24"/>
          <w:szCs w:val="24"/>
        </w:rPr>
      </w:pPr>
    </w:p>
    <w:p w14:paraId="28D2804C" w14:textId="4B76E27D" w:rsidR="004E5C23" w:rsidRPr="00F835C4" w:rsidRDefault="004E5C23" w:rsidP="00F835C4">
      <w:pPr>
        <w:spacing w:after="0"/>
        <w:rPr>
          <w:rFonts w:ascii="Times New Roman" w:hAnsi="Times New Roman" w:cs="Times New Roman"/>
          <w:sz w:val="24"/>
          <w:szCs w:val="24"/>
        </w:rPr>
      </w:pPr>
      <w:r w:rsidRPr="00F835C4">
        <w:rPr>
          <w:rFonts w:ascii="Times New Roman" w:hAnsi="Times New Roman" w:cs="Times New Roman"/>
          <w:b/>
          <w:bCs/>
          <w:sz w:val="24"/>
          <w:szCs w:val="24"/>
        </w:rPr>
        <w:t>Holdings:</w:t>
      </w:r>
      <w:r w:rsidR="00F835C4" w:rsidRPr="00F835C4">
        <w:rPr>
          <w:rFonts w:ascii="Times New Roman" w:hAnsi="Times New Roman" w:cs="Times New Roman"/>
          <w:sz w:val="24"/>
          <w:szCs w:val="24"/>
        </w:rPr>
        <w:t xml:space="preserve"> </w:t>
      </w:r>
    </w:p>
    <w:p w14:paraId="2B447FC3" w14:textId="77777777" w:rsidR="00F835C4" w:rsidRPr="00F835C4" w:rsidRDefault="00F835C4" w:rsidP="00F835C4">
      <w:pPr>
        <w:pStyle w:val="ListParagraph"/>
        <w:numPr>
          <w:ilvl w:val="0"/>
          <w:numId w:val="1"/>
        </w:numPr>
        <w:spacing w:after="0"/>
        <w:rPr>
          <w:rFonts w:ascii="Times New Roman" w:hAnsi="Times New Roman" w:cs="Times New Roman"/>
          <w:sz w:val="24"/>
          <w:szCs w:val="24"/>
        </w:rPr>
      </w:pPr>
      <w:r w:rsidRPr="00F835C4">
        <w:rPr>
          <w:rFonts w:ascii="Times New Roman" w:hAnsi="Times New Roman" w:cs="Times New Roman"/>
          <w:sz w:val="24"/>
          <w:szCs w:val="24"/>
        </w:rPr>
        <w:t>Yes, IJs and BIA members DO have general authority to act appropriately for the administration of cases, which extends to utilizing administrative closure.</w:t>
      </w:r>
    </w:p>
    <w:p w14:paraId="5A3772BE" w14:textId="77777777" w:rsidR="00F835C4" w:rsidRPr="00F835C4" w:rsidRDefault="00F835C4" w:rsidP="00F835C4">
      <w:pPr>
        <w:pStyle w:val="ListParagraph"/>
        <w:numPr>
          <w:ilvl w:val="0"/>
          <w:numId w:val="1"/>
        </w:numPr>
        <w:spacing w:after="0"/>
        <w:rPr>
          <w:rFonts w:ascii="Times New Roman" w:hAnsi="Times New Roman" w:cs="Times New Roman"/>
          <w:sz w:val="24"/>
          <w:szCs w:val="24"/>
        </w:rPr>
      </w:pPr>
      <w:r w:rsidRPr="00F835C4">
        <w:rPr>
          <w:rFonts w:ascii="Times New Roman" w:hAnsi="Times New Roman" w:cs="Times New Roman"/>
          <w:i/>
          <w:iCs/>
          <w:sz w:val="24"/>
          <w:szCs w:val="24"/>
        </w:rPr>
        <w:t>Castro-Tum</w:t>
      </w:r>
      <w:r w:rsidRPr="00F835C4">
        <w:rPr>
          <w:rFonts w:ascii="Times New Roman" w:hAnsi="Times New Roman" w:cs="Times New Roman"/>
          <w:sz w:val="24"/>
          <w:szCs w:val="24"/>
        </w:rPr>
        <w:t xml:space="preserve"> does not merit either </w:t>
      </w:r>
      <w:r w:rsidRPr="00F835C4">
        <w:rPr>
          <w:rFonts w:ascii="Times New Roman" w:hAnsi="Times New Roman" w:cs="Times New Roman"/>
          <w:i/>
          <w:iCs/>
          <w:sz w:val="24"/>
          <w:szCs w:val="24"/>
        </w:rPr>
        <w:t>Auer</w:t>
      </w:r>
      <w:r w:rsidRPr="00F835C4">
        <w:rPr>
          <w:rFonts w:ascii="Times New Roman" w:hAnsi="Times New Roman" w:cs="Times New Roman"/>
          <w:sz w:val="24"/>
          <w:szCs w:val="24"/>
        </w:rPr>
        <w:t xml:space="preserve"> or </w:t>
      </w:r>
      <w:r w:rsidRPr="00F835C4">
        <w:rPr>
          <w:rFonts w:ascii="Times New Roman" w:hAnsi="Times New Roman" w:cs="Times New Roman"/>
          <w:i/>
          <w:iCs/>
          <w:sz w:val="24"/>
          <w:szCs w:val="24"/>
        </w:rPr>
        <w:t>Skidmore</w:t>
      </w:r>
      <w:r w:rsidRPr="00F835C4">
        <w:rPr>
          <w:rFonts w:ascii="Times New Roman" w:hAnsi="Times New Roman" w:cs="Times New Roman"/>
          <w:sz w:val="24"/>
          <w:szCs w:val="24"/>
        </w:rPr>
        <w:t xml:space="preserve"> deference.</w:t>
      </w:r>
    </w:p>
    <w:p w14:paraId="2ADBAA3B" w14:textId="6C34FC3F" w:rsidR="00F835C4" w:rsidRPr="00F835C4" w:rsidRDefault="00F835C4" w:rsidP="00F835C4">
      <w:pPr>
        <w:pStyle w:val="ListParagraph"/>
        <w:numPr>
          <w:ilvl w:val="0"/>
          <w:numId w:val="1"/>
        </w:numPr>
        <w:spacing w:after="0"/>
        <w:rPr>
          <w:rFonts w:ascii="Times New Roman" w:hAnsi="Times New Roman" w:cs="Times New Roman"/>
          <w:sz w:val="24"/>
          <w:szCs w:val="24"/>
        </w:rPr>
      </w:pPr>
      <w:r w:rsidRPr="00F835C4">
        <w:rPr>
          <w:rFonts w:ascii="Times New Roman" w:hAnsi="Times New Roman" w:cs="Times New Roman"/>
          <w:sz w:val="24"/>
          <w:szCs w:val="24"/>
        </w:rPr>
        <w:t xml:space="preserve">Zuniga Romero’s case is vacated and remanded for a decision in keeping with this one. </w:t>
      </w:r>
    </w:p>
    <w:p w14:paraId="67CCF169" w14:textId="3C563CC2" w:rsidR="004E5C23" w:rsidRPr="00F835C4" w:rsidRDefault="004E5C23" w:rsidP="00F835C4">
      <w:pPr>
        <w:spacing w:after="0"/>
        <w:rPr>
          <w:rFonts w:ascii="Times New Roman" w:hAnsi="Times New Roman" w:cs="Times New Roman"/>
          <w:b/>
          <w:bCs/>
          <w:sz w:val="24"/>
          <w:szCs w:val="24"/>
        </w:rPr>
      </w:pPr>
    </w:p>
    <w:p w14:paraId="5365C2BB" w14:textId="1981B11D" w:rsidR="004E5C23" w:rsidRDefault="004E5C23" w:rsidP="00F835C4">
      <w:pPr>
        <w:spacing w:after="0"/>
        <w:rPr>
          <w:rFonts w:ascii="Times New Roman" w:hAnsi="Times New Roman" w:cs="Times New Roman"/>
          <w:b/>
          <w:bCs/>
          <w:sz w:val="24"/>
          <w:szCs w:val="24"/>
        </w:rPr>
      </w:pPr>
      <w:r w:rsidRPr="00F835C4">
        <w:rPr>
          <w:rFonts w:ascii="Times New Roman" w:hAnsi="Times New Roman" w:cs="Times New Roman"/>
          <w:b/>
          <w:bCs/>
          <w:sz w:val="24"/>
          <w:szCs w:val="24"/>
        </w:rPr>
        <w:t>Rationale:</w:t>
      </w:r>
    </w:p>
    <w:p w14:paraId="1F745963" w14:textId="10B036E8" w:rsidR="008D1EFA" w:rsidRPr="008D1EFA" w:rsidRDefault="008D1EFA" w:rsidP="008D1EFA">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sz w:val="24"/>
          <w:szCs w:val="24"/>
        </w:rPr>
        <w:t>Administrative closure is included in the general authority granted in 8 C.F.R. § 1003.10(b) (re. IJs) and 8 C.F.R. § 1003.1(d)(1)(ii) (re. BIA members) to take any action that is appropriate and necessary for such cases.</w:t>
      </w:r>
    </w:p>
    <w:p w14:paraId="5337117C" w14:textId="03108013" w:rsidR="008D1EFA" w:rsidRPr="008D1EFA" w:rsidRDefault="008D1EFA" w:rsidP="008D1EFA">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sz w:val="24"/>
          <w:szCs w:val="24"/>
        </w:rPr>
        <w:t>The IJs and BIA have done this consistently since 1980, and it’s been affirmed in lots of opinions.</w:t>
      </w:r>
    </w:p>
    <w:p w14:paraId="2B0DF8D3" w14:textId="52A67729" w:rsidR="008D1EFA" w:rsidRPr="008D1EFA" w:rsidRDefault="008D1EFA" w:rsidP="008D1EFA">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sz w:val="24"/>
          <w:szCs w:val="24"/>
        </w:rPr>
        <w:t>The regulations are not ambiguous, and even if they were, the A.G.’s decision is so out of keeping with past practice as to be a “sudden surprise” procedurally for litigants.</w:t>
      </w:r>
    </w:p>
    <w:p w14:paraId="65689789" w14:textId="788A3D0E" w:rsidR="004E5C23" w:rsidRPr="00F835C4" w:rsidRDefault="004E5C23" w:rsidP="00F835C4">
      <w:pPr>
        <w:spacing w:after="0"/>
        <w:rPr>
          <w:rFonts w:ascii="Times New Roman" w:hAnsi="Times New Roman" w:cs="Times New Roman"/>
          <w:b/>
          <w:bCs/>
          <w:sz w:val="24"/>
          <w:szCs w:val="24"/>
        </w:rPr>
      </w:pPr>
    </w:p>
    <w:p w14:paraId="2484352E" w14:textId="19D08337" w:rsidR="004E5C23" w:rsidRPr="00F835C4" w:rsidRDefault="004E5C23" w:rsidP="00F835C4">
      <w:pPr>
        <w:spacing w:after="0"/>
        <w:rPr>
          <w:rFonts w:ascii="Times New Roman" w:hAnsi="Times New Roman" w:cs="Times New Roman"/>
          <w:b/>
          <w:bCs/>
          <w:sz w:val="24"/>
          <w:szCs w:val="24"/>
        </w:rPr>
      </w:pPr>
      <w:r w:rsidRPr="00F835C4">
        <w:rPr>
          <w:rFonts w:ascii="Times New Roman" w:hAnsi="Times New Roman" w:cs="Times New Roman"/>
          <w:b/>
          <w:bCs/>
          <w:sz w:val="24"/>
          <w:szCs w:val="24"/>
        </w:rPr>
        <w:t>Procedural History:</w:t>
      </w:r>
    </w:p>
    <w:p w14:paraId="6F46A18E" w14:textId="40AAAA47" w:rsidR="004E5C23" w:rsidRPr="00F835C4" w:rsidRDefault="00F835C4" w:rsidP="00F835C4">
      <w:pPr>
        <w:pStyle w:val="ListParagraph"/>
        <w:numPr>
          <w:ilvl w:val="0"/>
          <w:numId w:val="1"/>
        </w:numPr>
        <w:spacing w:after="0"/>
        <w:rPr>
          <w:rFonts w:ascii="Times New Roman" w:hAnsi="Times New Roman" w:cs="Times New Roman"/>
          <w:sz w:val="24"/>
          <w:szCs w:val="24"/>
        </w:rPr>
      </w:pPr>
      <w:r w:rsidRPr="00F835C4">
        <w:rPr>
          <w:rFonts w:ascii="Times New Roman" w:hAnsi="Times New Roman" w:cs="Times New Roman"/>
          <w:b/>
          <w:bCs/>
          <w:sz w:val="24"/>
          <w:szCs w:val="24"/>
        </w:rPr>
        <w:t>2013:</w:t>
      </w:r>
      <w:r w:rsidRPr="00F835C4">
        <w:rPr>
          <w:rFonts w:ascii="Times New Roman" w:hAnsi="Times New Roman" w:cs="Times New Roman"/>
          <w:sz w:val="24"/>
          <w:szCs w:val="24"/>
        </w:rPr>
        <w:t xml:space="preserve"> Removal proceedings against Zuniga Romero</w:t>
      </w:r>
    </w:p>
    <w:p w14:paraId="6E534C24" w14:textId="78382A32" w:rsidR="00F835C4" w:rsidRPr="00F835C4" w:rsidRDefault="00F835C4" w:rsidP="00F835C4">
      <w:pPr>
        <w:pStyle w:val="ListParagraph"/>
        <w:numPr>
          <w:ilvl w:val="0"/>
          <w:numId w:val="1"/>
        </w:numPr>
        <w:spacing w:after="0"/>
        <w:rPr>
          <w:rFonts w:ascii="Times New Roman" w:hAnsi="Times New Roman" w:cs="Times New Roman"/>
          <w:sz w:val="24"/>
          <w:szCs w:val="24"/>
        </w:rPr>
      </w:pPr>
      <w:r w:rsidRPr="00F835C4">
        <w:rPr>
          <w:rFonts w:ascii="Times New Roman" w:hAnsi="Times New Roman" w:cs="Times New Roman"/>
          <w:b/>
          <w:bCs/>
          <w:sz w:val="24"/>
          <w:szCs w:val="24"/>
        </w:rPr>
        <w:t xml:space="preserve">IJ: </w:t>
      </w:r>
      <w:r w:rsidRPr="00F835C4">
        <w:rPr>
          <w:rFonts w:ascii="Times New Roman" w:hAnsi="Times New Roman" w:cs="Times New Roman"/>
          <w:sz w:val="24"/>
          <w:szCs w:val="24"/>
        </w:rPr>
        <w:t>Respondent accepted voluntary departure.</w:t>
      </w:r>
    </w:p>
    <w:p w14:paraId="1DB7C5EA" w14:textId="29E8ADFE" w:rsidR="00F835C4" w:rsidRDefault="00F835C4" w:rsidP="00F835C4">
      <w:pPr>
        <w:pStyle w:val="ListParagraph"/>
        <w:numPr>
          <w:ilvl w:val="0"/>
          <w:numId w:val="1"/>
        </w:numPr>
        <w:spacing w:after="0"/>
        <w:rPr>
          <w:rFonts w:ascii="Times New Roman" w:hAnsi="Times New Roman" w:cs="Times New Roman"/>
          <w:sz w:val="24"/>
          <w:szCs w:val="24"/>
        </w:rPr>
      </w:pPr>
      <w:r w:rsidRPr="00F835C4">
        <w:rPr>
          <w:rFonts w:ascii="Times New Roman" w:hAnsi="Times New Roman" w:cs="Times New Roman"/>
          <w:b/>
          <w:bCs/>
          <w:sz w:val="24"/>
          <w:szCs w:val="24"/>
        </w:rPr>
        <w:t>Reopening:</w:t>
      </w:r>
      <w:r w:rsidRPr="00F835C4">
        <w:rPr>
          <w:rFonts w:ascii="Times New Roman" w:hAnsi="Times New Roman" w:cs="Times New Roman"/>
          <w:sz w:val="24"/>
          <w:szCs w:val="24"/>
        </w:rPr>
        <w:t xml:space="preserve"> Respondent is beneficiary of LPR wife’s I-130</w:t>
      </w:r>
    </w:p>
    <w:p w14:paraId="5E67ADFB" w14:textId="14C4B6CE" w:rsidR="00B35676" w:rsidRDefault="00B35676" w:rsidP="00F835C4">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 xml:space="preserve">Motion for Admin Closure: </w:t>
      </w:r>
      <w:r>
        <w:rPr>
          <w:rFonts w:ascii="Times New Roman" w:hAnsi="Times New Roman" w:cs="Times New Roman"/>
          <w:sz w:val="24"/>
          <w:szCs w:val="24"/>
        </w:rPr>
        <w:t xml:space="preserve">Wife now naturalized, </w:t>
      </w:r>
      <w:r w:rsidR="00327667">
        <w:rPr>
          <w:rFonts w:ascii="Times New Roman" w:hAnsi="Times New Roman" w:cs="Times New Roman"/>
          <w:sz w:val="24"/>
          <w:szCs w:val="24"/>
        </w:rPr>
        <w:t>respondent wants to file I-601A for a provisional unlawful presence waiver. Removal proceedings have to be administratively closed for this to happen.</w:t>
      </w:r>
    </w:p>
    <w:p w14:paraId="59A5BF72" w14:textId="1950703A" w:rsidR="00327667" w:rsidRDefault="00327667" w:rsidP="00F835C4">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 xml:space="preserve">IJ: </w:t>
      </w:r>
      <w:r>
        <w:rPr>
          <w:rFonts w:ascii="Times New Roman" w:hAnsi="Times New Roman" w:cs="Times New Roman"/>
          <w:sz w:val="24"/>
          <w:szCs w:val="24"/>
        </w:rPr>
        <w:t>denied admin closure</w:t>
      </w:r>
    </w:p>
    <w:p w14:paraId="3DEE2841" w14:textId="354C5CE6" w:rsidR="00327667" w:rsidRDefault="00327667" w:rsidP="00F835C4">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Appeal to BIA:</w:t>
      </w:r>
      <w:r>
        <w:rPr>
          <w:rFonts w:ascii="Times New Roman" w:hAnsi="Times New Roman" w:cs="Times New Roman"/>
          <w:sz w:val="24"/>
          <w:szCs w:val="24"/>
        </w:rPr>
        <w:t xml:space="preserve"> sustained appeal, administratively closed case.</w:t>
      </w:r>
    </w:p>
    <w:p w14:paraId="4D94ACAF" w14:textId="0B314E6F" w:rsidR="00327667" w:rsidRPr="00327667" w:rsidRDefault="00327667" w:rsidP="00F835C4">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2017: DHS—Motion to Reconsider</w:t>
      </w:r>
    </w:p>
    <w:p w14:paraId="7D9AA713" w14:textId="68720D21" w:rsidR="00327667" w:rsidRDefault="00327667" w:rsidP="00F835C4">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 xml:space="preserve">May 2018: A.G.’s </w:t>
      </w:r>
      <w:r>
        <w:rPr>
          <w:rFonts w:ascii="Times New Roman" w:hAnsi="Times New Roman" w:cs="Times New Roman"/>
          <w:b/>
          <w:bCs/>
          <w:i/>
          <w:iCs/>
          <w:sz w:val="24"/>
          <w:szCs w:val="24"/>
        </w:rPr>
        <w:t>Castro-Tum</w:t>
      </w:r>
      <w:r>
        <w:rPr>
          <w:rFonts w:ascii="Times New Roman" w:hAnsi="Times New Roman" w:cs="Times New Roman"/>
          <w:i/>
          <w:iCs/>
          <w:sz w:val="24"/>
          <w:szCs w:val="24"/>
        </w:rPr>
        <w:t xml:space="preserve"> </w:t>
      </w:r>
      <w:proofErr w:type="gramStart"/>
      <w:r>
        <w:rPr>
          <w:rFonts w:ascii="Times New Roman" w:hAnsi="Times New Roman" w:cs="Times New Roman"/>
          <w:sz w:val="24"/>
          <w:szCs w:val="24"/>
        </w:rPr>
        <w:t>outlaws</w:t>
      </w:r>
      <w:proofErr w:type="gramEnd"/>
      <w:r>
        <w:rPr>
          <w:rFonts w:ascii="Times New Roman" w:hAnsi="Times New Roman" w:cs="Times New Roman"/>
          <w:sz w:val="24"/>
          <w:szCs w:val="24"/>
        </w:rPr>
        <w:t xml:space="preserve"> administrative closure</w:t>
      </w:r>
    </w:p>
    <w:p w14:paraId="4A50CAA3" w14:textId="5FCF15E3" w:rsidR="00327667" w:rsidRDefault="00327667" w:rsidP="00F835C4">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 xml:space="preserve">June 2018: BIA </w:t>
      </w:r>
      <w:r>
        <w:rPr>
          <w:rFonts w:ascii="Times New Roman" w:hAnsi="Times New Roman" w:cs="Times New Roman"/>
          <w:sz w:val="24"/>
          <w:szCs w:val="24"/>
        </w:rPr>
        <w:t>grants DHS motion, dismissed respondent’s appeal &amp; ordered him deported.</w:t>
      </w:r>
    </w:p>
    <w:p w14:paraId="2687976F" w14:textId="12543423" w:rsidR="00327667" w:rsidRPr="00F835C4" w:rsidRDefault="00327667" w:rsidP="00F835C4">
      <w:pPr>
        <w:pStyle w:val="ListParagraph"/>
        <w:numPr>
          <w:ilvl w:val="0"/>
          <w:numId w:val="1"/>
        </w:numPr>
        <w:spacing w:after="0"/>
        <w:rPr>
          <w:rFonts w:ascii="Times New Roman" w:hAnsi="Times New Roman" w:cs="Times New Roman"/>
          <w:sz w:val="24"/>
          <w:szCs w:val="24"/>
        </w:rPr>
      </w:pPr>
      <w:r>
        <w:rPr>
          <w:rFonts w:ascii="Times New Roman" w:hAnsi="Times New Roman" w:cs="Times New Roman"/>
          <w:b/>
          <w:bCs/>
          <w:sz w:val="24"/>
          <w:szCs w:val="24"/>
        </w:rPr>
        <w:t>Petition to 4</w:t>
      </w:r>
      <w:r w:rsidRPr="00327667">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Circuit</w:t>
      </w:r>
    </w:p>
    <w:p w14:paraId="2D63A330" w14:textId="627821AE" w:rsidR="004E5C23" w:rsidRPr="00F835C4" w:rsidRDefault="004E5C23" w:rsidP="00F835C4">
      <w:pPr>
        <w:spacing w:after="0"/>
        <w:rPr>
          <w:rFonts w:ascii="Times New Roman" w:hAnsi="Times New Roman" w:cs="Times New Roman"/>
          <w:b/>
          <w:bCs/>
          <w:sz w:val="24"/>
          <w:szCs w:val="24"/>
        </w:rPr>
      </w:pPr>
    </w:p>
    <w:p w14:paraId="6A3EEF1B" w14:textId="77777777" w:rsidR="00EB29E5" w:rsidRDefault="00EB29E5" w:rsidP="00F835C4">
      <w:pPr>
        <w:spacing w:after="0"/>
        <w:rPr>
          <w:rFonts w:ascii="Times New Roman" w:hAnsi="Times New Roman" w:cs="Times New Roman"/>
          <w:b/>
          <w:bCs/>
          <w:sz w:val="24"/>
          <w:szCs w:val="24"/>
        </w:rPr>
      </w:pPr>
    </w:p>
    <w:p w14:paraId="283446AC" w14:textId="77777777" w:rsidR="00EB29E5" w:rsidRDefault="00EB29E5" w:rsidP="00F835C4">
      <w:pPr>
        <w:spacing w:after="0"/>
        <w:rPr>
          <w:rFonts w:ascii="Times New Roman" w:hAnsi="Times New Roman" w:cs="Times New Roman"/>
          <w:b/>
          <w:bCs/>
          <w:sz w:val="24"/>
          <w:szCs w:val="24"/>
        </w:rPr>
      </w:pPr>
    </w:p>
    <w:p w14:paraId="35B107B9" w14:textId="0B67CD1B" w:rsidR="004E5C23" w:rsidRDefault="004E5C23" w:rsidP="00F835C4">
      <w:pPr>
        <w:spacing w:after="0"/>
        <w:rPr>
          <w:rFonts w:ascii="Times New Roman" w:hAnsi="Times New Roman" w:cs="Times New Roman"/>
          <w:b/>
          <w:bCs/>
          <w:sz w:val="24"/>
          <w:szCs w:val="24"/>
        </w:rPr>
      </w:pPr>
      <w:r w:rsidRPr="00F835C4">
        <w:rPr>
          <w:rFonts w:ascii="Times New Roman" w:hAnsi="Times New Roman" w:cs="Times New Roman"/>
          <w:b/>
          <w:bCs/>
          <w:sz w:val="24"/>
          <w:szCs w:val="24"/>
        </w:rPr>
        <w:lastRenderedPageBreak/>
        <w:t>Appeals to Statute &amp; Precedent:</w:t>
      </w:r>
    </w:p>
    <w:p w14:paraId="511E19A1" w14:textId="7CD4FA54" w:rsidR="00EB29E5" w:rsidRPr="00EB29E5" w:rsidRDefault="00EB29E5" w:rsidP="00EB29E5">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i/>
          <w:iCs/>
          <w:sz w:val="24"/>
          <w:szCs w:val="24"/>
        </w:rPr>
        <w:t>Matter of Avetisyan</w:t>
      </w:r>
      <w:r>
        <w:rPr>
          <w:rFonts w:ascii="Times New Roman" w:hAnsi="Times New Roman" w:cs="Times New Roman"/>
          <w:b/>
          <w:bCs/>
          <w:sz w:val="24"/>
          <w:szCs w:val="24"/>
        </w:rPr>
        <w:t>, 25 I&amp;N Dec. 688 (BIA 2012):</w:t>
      </w:r>
      <w:r>
        <w:rPr>
          <w:rFonts w:ascii="Times New Roman" w:hAnsi="Times New Roman" w:cs="Times New Roman"/>
          <w:sz w:val="24"/>
          <w:szCs w:val="24"/>
        </w:rPr>
        <w:t xml:space="preserve"> Administrative closure is necessary for the efficient processing of this case.</w:t>
      </w:r>
      <w:r w:rsidR="003A7756">
        <w:rPr>
          <w:rFonts w:ascii="Times New Roman" w:hAnsi="Times New Roman" w:cs="Times New Roman"/>
          <w:sz w:val="24"/>
          <w:szCs w:val="24"/>
        </w:rPr>
        <w:t xml:space="preserve"> Six-factor test for applying admin closure.</w:t>
      </w:r>
    </w:p>
    <w:p w14:paraId="4A8F970E" w14:textId="574D845D" w:rsidR="00EB29E5" w:rsidRPr="001E5127" w:rsidRDefault="00EB29E5" w:rsidP="00EB29E5">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i/>
          <w:iCs/>
          <w:sz w:val="24"/>
          <w:szCs w:val="24"/>
        </w:rPr>
        <w:t>Matter of Hashmi</w:t>
      </w:r>
      <w:r>
        <w:rPr>
          <w:rFonts w:ascii="Times New Roman" w:hAnsi="Times New Roman" w:cs="Times New Roman"/>
          <w:b/>
          <w:bCs/>
          <w:sz w:val="24"/>
          <w:szCs w:val="24"/>
        </w:rPr>
        <w:t>, 24 I&amp;N Dec. 785 (BIA 2009):</w:t>
      </w:r>
      <w:r>
        <w:rPr>
          <w:rFonts w:ascii="Times New Roman" w:hAnsi="Times New Roman" w:cs="Times New Roman"/>
          <w:sz w:val="24"/>
          <w:szCs w:val="24"/>
        </w:rPr>
        <w:t xml:space="preserve"> Administrative closure is necessary for the processing of a visa application.</w:t>
      </w:r>
    </w:p>
    <w:p w14:paraId="53DBC56A" w14:textId="3A053A63" w:rsidR="001E5127" w:rsidRPr="00460A1B" w:rsidRDefault="001E5127" w:rsidP="00EB29E5">
      <w:pPr>
        <w:pStyle w:val="ListParagraph"/>
        <w:numPr>
          <w:ilvl w:val="0"/>
          <w:numId w:val="1"/>
        </w:numPr>
        <w:spacing w:after="0"/>
        <w:rPr>
          <w:rFonts w:ascii="Times New Roman" w:hAnsi="Times New Roman" w:cs="Times New Roman"/>
          <w:b/>
          <w:bCs/>
          <w:sz w:val="24"/>
          <w:szCs w:val="24"/>
        </w:rPr>
      </w:pPr>
      <w:r w:rsidRPr="001E5127">
        <w:rPr>
          <w:rFonts w:ascii="Times New Roman" w:hAnsi="Times New Roman" w:cs="Times New Roman"/>
          <w:b/>
          <w:bCs/>
          <w:i/>
          <w:iCs/>
          <w:sz w:val="24"/>
          <w:szCs w:val="24"/>
        </w:rPr>
        <w:t>Matter of W-Y-U-</w:t>
      </w:r>
      <w:r w:rsidRPr="001E5127">
        <w:rPr>
          <w:rFonts w:ascii="Times New Roman" w:hAnsi="Times New Roman" w:cs="Times New Roman"/>
          <w:b/>
          <w:bCs/>
          <w:sz w:val="24"/>
          <w:szCs w:val="24"/>
        </w:rPr>
        <w:t>, 27 I&amp;N Dec. 17, 18 (BIA 2017)</w:t>
      </w:r>
      <w:r>
        <w:rPr>
          <w:rFonts w:ascii="Times New Roman" w:hAnsi="Times New Roman" w:cs="Times New Roman"/>
          <w:b/>
          <w:bCs/>
          <w:sz w:val="24"/>
          <w:szCs w:val="24"/>
        </w:rPr>
        <w:t>:</w:t>
      </w:r>
      <w:r>
        <w:rPr>
          <w:rFonts w:ascii="Times New Roman" w:hAnsi="Times New Roman" w:cs="Times New Roman"/>
          <w:sz w:val="24"/>
          <w:szCs w:val="24"/>
        </w:rPr>
        <w:t xml:space="preserve"> Purpose of &amp; reasons for administrative closure</w:t>
      </w:r>
    </w:p>
    <w:p w14:paraId="759DB823" w14:textId="5A4E1B0F" w:rsidR="00460A1B" w:rsidRPr="006C5079" w:rsidRDefault="00460A1B" w:rsidP="00EB29E5">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i/>
          <w:iCs/>
          <w:sz w:val="24"/>
          <w:szCs w:val="24"/>
        </w:rPr>
        <w:t>In re. Gutierrez-Lopez</w:t>
      </w:r>
      <w:r>
        <w:rPr>
          <w:rFonts w:ascii="Times New Roman" w:hAnsi="Times New Roman" w:cs="Times New Roman"/>
          <w:b/>
          <w:bCs/>
          <w:sz w:val="24"/>
          <w:szCs w:val="24"/>
        </w:rPr>
        <w:t>, 21 I&amp;N Dec. 479, 480 (BIA 1996):</w:t>
      </w:r>
      <w:r>
        <w:rPr>
          <w:rFonts w:ascii="Times New Roman" w:hAnsi="Times New Roman" w:cs="Times New Roman"/>
          <w:sz w:val="24"/>
          <w:szCs w:val="24"/>
        </w:rPr>
        <w:t xml:space="preserve"> affirmed administrative closure</w:t>
      </w:r>
    </w:p>
    <w:p w14:paraId="2EFF9056" w14:textId="6553F77A" w:rsidR="006C5079" w:rsidRPr="00727AA7" w:rsidRDefault="006C5079" w:rsidP="00EB29E5">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i/>
          <w:iCs/>
          <w:sz w:val="24"/>
          <w:szCs w:val="24"/>
        </w:rPr>
        <w:t>Gonzalez-</w:t>
      </w:r>
      <w:proofErr w:type="spellStart"/>
      <w:r>
        <w:rPr>
          <w:rFonts w:ascii="Times New Roman" w:hAnsi="Times New Roman" w:cs="Times New Roman"/>
          <w:b/>
          <w:bCs/>
          <w:i/>
          <w:iCs/>
          <w:sz w:val="24"/>
          <w:szCs w:val="24"/>
        </w:rPr>
        <w:t>Caraveo</w:t>
      </w:r>
      <w:proofErr w:type="spellEnd"/>
      <w:r>
        <w:rPr>
          <w:rFonts w:ascii="Times New Roman" w:hAnsi="Times New Roman" w:cs="Times New Roman"/>
          <w:b/>
          <w:bCs/>
          <w:i/>
          <w:iCs/>
          <w:sz w:val="24"/>
          <w:szCs w:val="24"/>
        </w:rPr>
        <w:t xml:space="preserve"> v. Sessions</w:t>
      </w:r>
      <w:r>
        <w:rPr>
          <w:rFonts w:ascii="Times New Roman" w:hAnsi="Times New Roman" w:cs="Times New Roman"/>
          <w:b/>
          <w:bCs/>
          <w:sz w:val="24"/>
          <w:szCs w:val="24"/>
        </w:rPr>
        <w:t>, 882 F.3d 885 (9</w:t>
      </w:r>
      <w:r w:rsidRPr="006C5079">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 2018):</w:t>
      </w:r>
      <w:r>
        <w:rPr>
          <w:rFonts w:ascii="Times New Roman" w:hAnsi="Times New Roman" w:cs="Times New Roman"/>
          <w:sz w:val="24"/>
          <w:szCs w:val="24"/>
        </w:rPr>
        <w:t xml:space="preserve"> cites statutes at </w:t>
      </w:r>
      <w:r w:rsidRPr="006C5079">
        <w:rPr>
          <w:rFonts w:ascii="Times New Roman" w:hAnsi="Times New Roman" w:cs="Times New Roman"/>
          <w:sz w:val="24"/>
          <w:szCs w:val="24"/>
        </w:rPr>
        <w:t>8 C.F.R. § 1003</w:t>
      </w:r>
      <w:r>
        <w:rPr>
          <w:rFonts w:ascii="Times New Roman" w:hAnsi="Times New Roman" w:cs="Times New Roman"/>
          <w:sz w:val="24"/>
          <w:szCs w:val="24"/>
        </w:rPr>
        <w:t xml:space="preserve"> as authority for admin closure.</w:t>
      </w:r>
    </w:p>
    <w:p w14:paraId="6149FD60" w14:textId="6D057498" w:rsidR="00727AA7" w:rsidRPr="003A7756" w:rsidRDefault="00727AA7" w:rsidP="00EB29E5">
      <w:pPr>
        <w:pStyle w:val="ListParagraph"/>
        <w:numPr>
          <w:ilvl w:val="0"/>
          <w:numId w:val="1"/>
        </w:numPr>
        <w:spacing w:after="0"/>
        <w:rPr>
          <w:rFonts w:ascii="Times New Roman" w:hAnsi="Times New Roman" w:cs="Times New Roman"/>
          <w:b/>
          <w:bCs/>
          <w:sz w:val="24"/>
          <w:szCs w:val="24"/>
        </w:rPr>
      </w:pPr>
      <w:proofErr w:type="spellStart"/>
      <w:r w:rsidRPr="00727AA7">
        <w:rPr>
          <w:rFonts w:ascii="Times New Roman" w:hAnsi="Times New Roman" w:cs="Times New Roman"/>
          <w:b/>
          <w:bCs/>
          <w:i/>
          <w:iCs/>
          <w:sz w:val="24"/>
          <w:szCs w:val="24"/>
        </w:rPr>
        <w:t>Kisor</w:t>
      </w:r>
      <w:proofErr w:type="spellEnd"/>
      <w:r w:rsidRPr="00727AA7">
        <w:rPr>
          <w:rFonts w:ascii="Times New Roman" w:hAnsi="Times New Roman" w:cs="Times New Roman"/>
          <w:b/>
          <w:bCs/>
          <w:i/>
          <w:iCs/>
          <w:sz w:val="24"/>
          <w:szCs w:val="24"/>
        </w:rPr>
        <w:t xml:space="preserve"> v. </w:t>
      </w:r>
      <w:proofErr w:type="spellStart"/>
      <w:r w:rsidRPr="00727AA7">
        <w:rPr>
          <w:rFonts w:ascii="Times New Roman" w:hAnsi="Times New Roman" w:cs="Times New Roman"/>
          <w:b/>
          <w:bCs/>
          <w:i/>
          <w:iCs/>
          <w:sz w:val="24"/>
          <w:szCs w:val="24"/>
        </w:rPr>
        <w:t>Wilkie</w:t>
      </w:r>
      <w:proofErr w:type="spellEnd"/>
      <w:r w:rsidRPr="00727AA7">
        <w:rPr>
          <w:rFonts w:ascii="Times New Roman" w:hAnsi="Times New Roman" w:cs="Times New Roman"/>
          <w:b/>
          <w:bCs/>
          <w:sz w:val="24"/>
          <w:szCs w:val="24"/>
        </w:rPr>
        <w:t>, 139 S. Ct. 2400 (2019)</w:t>
      </w:r>
      <w:r>
        <w:rPr>
          <w:rFonts w:ascii="Times New Roman" w:hAnsi="Times New Roman" w:cs="Times New Roman"/>
          <w:b/>
          <w:bCs/>
          <w:sz w:val="24"/>
          <w:szCs w:val="24"/>
        </w:rPr>
        <w:t>:</w:t>
      </w:r>
      <w:r>
        <w:rPr>
          <w:rFonts w:ascii="Times New Roman" w:hAnsi="Times New Roman" w:cs="Times New Roman"/>
          <w:sz w:val="24"/>
          <w:szCs w:val="24"/>
        </w:rPr>
        <w:t xml:space="preserve"> </w:t>
      </w:r>
      <w:r>
        <w:rPr>
          <w:rFonts w:ascii="Times New Roman" w:hAnsi="Times New Roman" w:cs="Times New Roman"/>
          <w:i/>
          <w:iCs/>
          <w:sz w:val="24"/>
          <w:szCs w:val="24"/>
        </w:rPr>
        <w:t xml:space="preserve">Auer </w:t>
      </w:r>
      <w:r>
        <w:rPr>
          <w:rFonts w:ascii="Times New Roman" w:hAnsi="Times New Roman" w:cs="Times New Roman"/>
          <w:sz w:val="24"/>
          <w:szCs w:val="24"/>
        </w:rPr>
        <w:t>deference does not apply when a new interpretation creates an unfair surprise to regulated parties.</w:t>
      </w:r>
    </w:p>
    <w:p w14:paraId="0556E834" w14:textId="61CFBE22" w:rsidR="003A7756" w:rsidRPr="00460A1B" w:rsidRDefault="003A7756" w:rsidP="00EB29E5">
      <w:pPr>
        <w:pStyle w:val="ListParagraph"/>
        <w:numPr>
          <w:ilvl w:val="0"/>
          <w:numId w:val="1"/>
        </w:numPr>
        <w:spacing w:after="0"/>
        <w:rPr>
          <w:rFonts w:ascii="Times New Roman" w:hAnsi="Times New Roman" w:cs="Times New Roman"/>
          <w:b/>
          <w:bCs/>
          <w:sz w:val="24"/>
          <w:szCs w:val="24"/>
        </w:rPr>
      </w:pPr>
      <w:r w:rsidRPr="003A7756">
        <w:rPr>
          <w:rFonts w:ascii="Times New Roman" w:hAnsi="Times New Roman" w:cs="Times New Roman"/>
          <w:b/>
          <w:bCs/>
          <w:i/>
          <w:iCs/>
          <w:sz w:val="24"/>
          <w:szCs w:val="24"/>
        </w:rPr>
        <w:t>Skidmore v. Swift &amp; Co.</w:t>
      </w:r>
      <w:r w:rsidRPr="003A7756">
        <w:rPr>
          <w:rFonts w:ascii="Times New Roman" w:hAnsi="Times New Roman" w:cs="Times New Roman"/>
          <w:b/>
          <w:bCs/>
          <w:sz w:val="24"/>
          <w:szCs w:val="24"/>
        </w:rPr>
        <w:t>, 323 U.S. 134, 140 (1944)</w:t>
      </w:r>
      <w:r>
        <w:rPr>
          <w:rFonts w:ascii="Times New Roman" w:hAnsi="Times New Roman" w:cs="Times New Roman"/>
          <w:b/>
          <w:bCs/>
          <w:sz w:val="24"/>
          <w:szCs w:val="24"/>
        </w:rPr>
        <w:t>:</w:t>
      </w:r>
      <w:r>
        <w:rPr>
          <w:rFonts w:ascii="Times New Roman" w:hAnsi="Times New Roman" w:cs="Times New Roman"/>
          <w:sz w:val="24"/>
          <w:szCs w:val="24"/>
        </w:rPr>
        <w:t xml:space="preserve"> in absence of </w:t>
      </w:r>
      <w:r>
        <w:rPr>
          <w:rFonts w:ascii="Times New Roman" w:hAnsi="Times New Roman" w:cs="Times New Roman"/>
          <w:i/>
          <w:iCs/>
          <w:sz w:val="24"/>
          <w:szCs w:val="24"/>
        </w:rPr>
        <w:t xml:space="preserve">Auer </w:t>
      </w:r>
      <w:r>
        <w:rPr>
          <w:rFonts w:ascii="Times New Roman" w:hAnsi="Times New Roman" w:cs="Times New Roman"/>
          <w:sz w:val="24"/>
          <w:szCs w:val="24"/>
        </w:rPr>
        <w:t>criteria, deference is merited if agency’s interpretation is well-thought-through and persuasive.</w:t>
      </w:r>
    </w:p>
    <w:p w14:paraId="79BE10C4" w14:textId="0421A6C2" w:rsidR="00460A1B" w:rsidRPr="00460A1B" w:rsidRDefault="00460A1B" w:rsidP="00EB29E5">
      <w:pPr>
        <w:pStyle w:val="ListParagraph"/>
        <w:numPr>
          <w:ilvl w:val="0"/>
          <w:numId w:val="1"/>
        </w:numPr>
        <w:spacing w:after="0"/>
        <w:rPr>
          <w:rFonts w:ascii="Times New Roman" w:hAnsi="Times New Roman" w:cs="Times New Roman"/>
          <w:b/>
          <w:bCs/>
          <w:sz w:val="24"/>
          <w:szCs w:val="24"/>
        </w:rPr>
      </w:pPr>
      <w:r w:rsidRPr="00460A1B">
        <w:rPr>
          <w:rFonts w:ascii="Times New Roman" w:hAnsi="Times New Roman" w:cs="Times New Roman"/>
          <w:b/>
          <w:bCs/>
          <w:i/>
          <w:iCs/>
          <w:sz w:val="24"/>
          <w:szCs w:val="24"/>
        </w:rPr>
        <w:t>Christopher v. SmithKline Beecham Corp.</w:t>
      </w:r>
      <w:r w:rsidRPr="00460A1B">
        <w:rPr>
          <w:rFonts w:ascii="Times New Roman" w:hAnsi="Times New Roman" w:cs="Times New Roman"/>
          <w:b/>
          <w:bCs/>
          <w:sz w:val="24"/>
          <w:szCs w:val="24"/>
        </w:rPr>
        <w:t>, 567 U.S. 142</w:t>
      </w:r>
      <w:r>
        <w:rPr>
          <w:rFonts w:ascii="Times New Roman" w:hAnsi="Times New Roman" w:cs="Times New Roman"/>
          <w:b/>
          <w:bCs/>
          <w:sz w:val="24"/>
          <w:szCs w:val="24"/>
        </w:rPr>
        <w:t xml:space="preserve"> </w:t>
      </w:r>
      <w:r w:rsidRPr="00460A1B">
        <w:rPr>
          <w:rFonts w:ascii="Times New Roman" w:hAnsi="Times New Roman" w:cs="Times New Roman"/>
          <w:b/>
          <w:bCs/>
          <w:sz w:val="24"/>
          <w:szCs w:val="24"/>
        </w:rPr>
        <w:t>(2012)</w:t>
      </w:r>
      <w:r>
        <w:rPr>
          <w:rFonts w:ascii="Times New Roman" w:hAnsi="Times New Roman" w:cs="Times New Roman"/>
          <w:b/>
          <w:bCs/>
          <w:sz w:val="24"/>
          <w:szCs w:val="24"/>
        </w:rPr>
        <w:t>:</w:t>
      </w:r>
      <w:r>
        <w:rPr>
          <w:rFonts w:ascii="Times New Roman" w:hAnsi="Times New Roman" w:cs="Times New Roman"/>
          <w:sz w:val="24"/>
          <w:szCs w:val="24"/>
        </w:rPr>
        <w:t xml:space="preserve"> DOL interpretation of a regulation that departed abruptly from </w:t>
      </w:r>
      <w:r w:rsidR="00895686">
        <w:rPr>
          <w:rFonts w:ascii="Times New Roman" w:hAnsi="Times New Roman" w:cs="Times New Roman"/>
          <w:sz w:val="24"/>
          <w:szCs w:val="24"/>
        </w:rPr>
        <w:t xml:space="preserve">longstanding </w:t>
      </w:r>
      <w:r>
        <w:rPr>
          <w:rFonts w:ascii="Times New Roman" w:hAnsi="Times New Roman" w:cs="Times New Roman"/>
          <w:sz w:val="24"/>
          <w:szCs w:val="24"/>
        </w:rPr>
        <w:t>previous practice was not afforded deference by the Court.</w:t>
      </w:r>
    </w:p>
    <w:p w14:paraId="0FD6D58A" w14:textId="3FCABE0A" w:rsidR="004E5C23" w:rsidRPr="00F835C4" w:rsidRDefault="004E5C23" w:rsidP="00F835C4">
      <w:pPr>
        <w:spacing w:after="0"/>
        <w:rPr>
          <w:rFonts w:ascii="Times New Roman" w:hAnsi="Times New Roman" w:cs="Times New Roman"/>
          <w:b/>
          <w:bCs/>
          <w:sz w:val="24"/>
          <w:szCs w:val="24"/>
        </w:rPr>
      </w:pPr>
    </w:p>
    <w:p w14:paraId="5FE9543B" w14:textId="45FE729D" w:rsidR="004E5C23" w:rsidRDefault="003A7756" w:rsidP="00F835C4">
      <w:pPr>
        <w:spacing w:after="0"/>
        <w:rPr>
          <w:rFonts w:ascii="Times New Roman" w:hAnsi="Times New Roman" w:cs="Times New Roman"/>
          <w:sz w:val="24"/>
          <w:szCs w:val="24"/>
        </w:rPr>
      </w:pPr>
      <w:r>
        <w:rPr>
          <w:rFonts w:ascii="Times New Roman" w:hAnsi="Times New Roman" w:cs="Times New Roman"/>
          <w:b/>
          <w:bCs/>
          <w:sz w:val="24"/>
          <w:szCs w:val="24"/>
        </w:rPr>
        <w:t>Legal Background</w:t>
      </w:r>
      <w:r w:rsidR="001E5127">
        <w:rPr>
          <w:rFonts w:ascii="Times New Roman" w:hAnsi="Times New Roman" w:cs="Times New Roman"/>
          <w:b/>
          <w:bCs/>
          <w:sz w:val="24"/>
          <w:szCs w:val="24"/>
        </w:rPr>
        <w:t>:</w:t>
      </w:r>
    </w:p>
    <w:p w14:paraId="36624FB6" w14:textId="6CD667C1" w:rsidR="001E5127" w:rsidRDefault="001E5127" w:rsidP="001E512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“By administratively closing a case, an IJ or the BIA ‘temporarily pause[s] removal proceedings’ and places the case on hold, generally because there is an alternate form of case resolution pending, or because the case may be affected by events outside of the control of either party or that may not occur for some time. </w:t>
      </w:r>
      <w:r>
        <w:rPr>
          <w:rFonts w:ascii="Times New Roman" w:hAnsi="Times New Roman" w:cs="Times New Roman"/>
          <w:i/>
          <w:iCs/>
          <w:sz w:val="24"/>
          <w:szCs w:val="24"/>
        </w:rPr>
        <w:t>Matter of W-Y-U-</w:t>
      </w:r>
      <w:r>
        <w:rPr>
          <w:rFonts w:ascii="Times New Roman" w:hAnsi="Times New Roman" w:cs="Times New Roman"/>
          <w:sz w:val="24"/>
          <w:szCs w:val="24"/>
        </w:rPr>
        <w:t xml:space="preserve">, 27 I&amp;N Dec. 17, 18 (BIA 2017).”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w:t>
      </w:r>
      <w:r w:rsidRPr="001E5127">
        <w:rPr>
          <w:rFonts w:ascii="Times New Roman" w:hAnsi="Times New Roman" w:cs="Times New Roman"/>
          <w:sz w:val="24"/>
          <w:szCs w:val="24"/>
        </w:rPr>
        <w:t>5</w:t>
      </w:r>
      <w:r>
        <w:rPr>
          <w:rFonts w:ascii="Times New Roman" w:hAnsi="Times New Roman" w:cs="Times New Roman"/>
          <w:sz w:val="24"/>
          <w:szCs w:val="24"/>
        </w:rPr>
        <w:t>.</w:t>
      </w:r>
    </w:p>
    <w:p w14:paraId="56321BA6" w14:textId="77777777" w:rsidR="001E5127" w:rsidRDefault="001E5127" w:rsidP="001E5127">
      <w:pPr>
        <w:pStyle w:val="ListParagraph"/>
        <w:spacing w:after="0"/>
        <w:rPr>
          <w:rFonts w:ascii="Times New Roman" w:hAnsi="Times New Roman" w:cs="Times New Roman"/>
          <w:sz w:val="24"/>
          <w:szCs w:val="24"/>
        </w:rPr>
      </w:pPr>
    </w:p>
    <w:p w14:paraId="1A0F0F7A" w14:textId="65E409F5" w:rsidR="001E5127" w:rsidRDefault="001E5127" w:rsidP="001E512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“General administrative closure is not specifically authorized by the INA or the regulations governing IJs or the BIA.”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6.</w:t>
      </w:r>
    </w:p>
    <w:p w14:paraId="7B84B8C8" w14:textId="77777777" w:rsidR="001E5127" w:rsidRPr="001E5127" w:rsidRDefault="001E5127" w:rsidP="001E5127">
      <w:pPr>
        <w:pStyle w:val="ListParagraph"/>
        <w:rPr>
          <w:rFonts w:ascii="Times New Roman" w:hAnsi="Times New Roman" w:cs="Times New Roman"/>
          <w:sz w:val="24"/>
          <w:szCs w:val="24"/>
        </w:rPr>
      </w:pPr>
    </w:p>
    <w:p w14:paraId="3882585D" w14:textId="3309336B" w:rsidR="001E5127" w:rsidRDefault="001E5127" w:rsidP="001E512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Administrative closure is specifically authorized by statute in these cases:</w:t>
      </w:r>
    </w:p>
    <w:p w14:paraId="6C744958" w14:textId="459E4CAD" w:rsidR="001E5127" w:rsidRPr="001E5127" w:rsidRDefault="001E5127" w:rsidP="001E5127">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 xml:space="preserve">8 C.F.R. § 1214.2(a): </w:t>
      </w:r>
      <w:r>
        <w:rPr>
          <w:rFonts w:ascii="Times New Roman" w:hAnsi="Times New Roman" w:cs="Times New Roman"/>
          <w:sz w:val="24"/>
          <w:szCs w:val="24"/>
        </w:rPr>
        <w:t>T-immigrant status</w:t>
      </w:r>
    </w:p>
    <w:p w14:paraId="6226B767" w14:textId="7E509A1E" w:rsidR="001E5127" w:rsidRPr="001E5127" w:rsidRDefault="001E5127" w:rsidP="001E5127">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8 C.F.R. § 1214.3:</w:t>
      </w:r>
      <w:r>
        <w:rPr>
          <w:rFonts w:ascii="Times New Roman" w:hAnsi="Times New Roman" w:cs="Times New Roman"/>
          <w:sz w:val="24"/>
          <w:szCs w:val="24"/>
        </w:rPr>
        <w:t xml:space="preserve"> V-immigrant status</w:t>
      </w:r>
    </w:p>
    <w:p w14:paraId="57CAC2D7" w14:textId="0EBE5A95" w:rsidR="001E5127" w:rsidRPr="001E5127" w:rsidRDefault="001E5127" w:rsidP="001E5127">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8 C.F.R. § 1234.13(d)(3)(</w:t>
      </w:r>
      <w:proofErr w:type="spellStart"/>
      <w:r>
        <w:rPr>
          <w:rFonts w:ascii="Times New Roman" w:hAnsi="Times New Roman" w:cs="Times New Roman"/>
          <w:b/>
          <w:bCs/>
          <w:sz w:val="24"/>
          <w:szCs w:val="24"/>
        </w:rPr>
        <w:t>i</w:t>
      </w:r>
      <w:proofErr w:type="spellEnd"/>
      <w:r>
        <w:rPr>
          <w:rFonts w:ascii="Times New Roman" w:hAnsi="Times New Roman" w:cs="Times New Roman"/>
          <w:b/>
          <w:bCs/>
          <w:sz w:val="24"/>
          <w:szCs w:val="24"/>
        </w:rPr>
        <w:t>):</w:t>
      </w:r>
      <w:r>
        <w:rPr>
          <w:rFonts w:ascii="Times New Roman" w:hAnsi="Times New Roman" w:cs="Times New Roman"/>
          <w:sz w:val="24"/>
          <w:szCs w:val="24"/>
        </w:rPr>
        <w:t xml:space="preserve"> in certain </w:t>
      </w:r>
      <w:proofErr w:type="gramStart"/>
      <w:r>
        <w:rPr>
          <w:rFonts w:ascii="Times New Roman" w:hAnsi="Times New Roman" w:cs="Times New Roman"/>
          <w:sz w:val="24"/>
          <w:szCs w:val="24"/>
        </w:rPr>
        <w:t>cases</w:t>
      </w:r>
      <w:proofErr w:type="gramEnd"/>
      <w:r>
        <w:rPr>
          <w:rFonts w:ascii="Times New Roman" w:hAnsi="Times New Roman" w:cs="Times New Roman"/>
          <w:sz w:val="24"/>
          <w:szCs w:val="24"/>
        </w:rPr>
        <w:t xml:space="preserve"> re. nationals of Cuba &amp; Nicaragua who are eligible for LPR status</w:t>
      </w:r>
    </w:p>
    <w:p w14:paraId="6E3846C8" w14:textId="6AC843BD" w:rsidR="001E5127" w:rsidRPr="001E5127" w:rsidRDefault="001E5127" w:rsidP="001E5127">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8 C.F.R. § 1245.15(</w:t>
      </w:r>
      <w:r w:rsidR="00AA25A4">
        <w:rPr>
          <w:rFonts w:ascii="Times New Roman" w:hAnsi="Times New Roman" w:cs="Times New Roman"/>
          <w:b/>
          <w:bCs/>
          <w:sz w:val="24"/>
          <w:szCs w:val="24"/>
        </w:rPr>
        <w:t>p)</w:t>
      </w:r>
      <w:r>
        <w:rPr>
          <w:rFonts w:ascii="Times New Roman" w:hAnsi="Times New Roman" w:cs="Times New Roman"/>
          <w:b/>
          <w:bCs/>
          <w:sz w:val="24"/>
          <w:szCs w:val="24"/>
        </w:rPr>
        <w:t>(4)(</w:t>
      </w:r>
      <w:proofErr w:type="spellStart"/>
      <w:r>
        <w:rPr>
          <w:rFonts w:ascii="Times New Roman" w:hAnsi="Times New Roman" w:cs="Times New Roman"/>
          <w:b/>
          <w:bCs/>
          <w:sz w:val="24"/>
          <w:szCs w:val="24"/>
        </w:rPr>
        <w:t>i</w:t>
      </w:r>
      <w:proofErr w:type="spellEnd"/>
      <w:r>
        <w:rPr>
          <w:rFonts w:ascii="Times New Roman" w:hAnsi="Times New Roman" w:cs="Times New Roman"/>
          <w:b/>
          <w:bCs/>
          <w:sz w:val="24"/>
          <w:szCs w:val="24"/>
        </w:rPr>
        <w:t>)</w:t>
      </w:r>
      <w:r w:rsidR="00AA25A4">
        <w:rPr>
          <w:rFonts w:ascii="Times New Roman" w:hAnsi="Times New Roman" w:cs="Times New Roman"/>
          <w:b/>
          <w:bCs/>
          <w:sz w:val="24"/>
          <w:szCs w:val="24"/>
        </w:rPr>
        <w:t>:</w:t>
      </w:r>
      <w:r w:rsidR="00AA25A4">
        <w:rPr>
          <w:rFonts w:ascii="Times New Roman" w:hAnsi="Times New Roman" w:cs="Times New Roman"/>
          <w:sz w:val="24"/>
          <w:szCs w:val="24"/>
        </w:rPr>
        <w:t xml:space="preserve"> Haitian nationals </w:t>
      </w:r>
      <w:proofErr w:type="gramStart"/>
      <w:r w:rsidR="00AA25A4">
        <w:rPr>
          <w:rFonts w:ascii="Times New Roman" w:hAnsi="Times New Roman" w:cs="Times New Roman"/>
          <w:sz w:val="24"/>
          <w:szCs w:val="24"/>
        </w:rPr>
        <w:t>“  “</w:t>
      </w:r>
      <w:proofErr w:type="gramEnd"/>
    </w:p>
    <w:p w14:paraId="2BA8CC12" w14:textId="3CD35DD1" w:rsidR="00AA25A4" w:rsidRDefault="00AA25A4" w:rsidP="001E5127">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 xml:space="preserve">8 C.F.R. </w:t>
      </w:r>
      <w:r w:rsidR="001E5127">
        <w:rPr>
          <w:rFonts w:ascii="Times New Roman" w:hAnsi="Times New Roman" w:cs="Times New Roman"/>
          <w:b/>
          <w:bCs/>
          <w:sz w:val="24"/>
          <w:szCs w:val="24"/>
        </w:rPr>
        <w:t>§</w:t>
      </w:r>
      <w:r>
        <w:rPr>
          <w:rFonts w:ascii="Times New Roman" w:hAnsi="Times New Roman" w:cs="Times New Roman"/>
          <w:b/>
          <w:bCs/>
          <w:sz w:val="24"/>
          <w:szCs w:val="24"/>
        </w:rPr>
        <w:t xml:space="preserve"> 1245.21(c):</w:t>
      </w:r>
      <w:r>
        <w:rPr>
          <w:rFonts w:ascii="Times New Roman" w:hAnsi="Times New Roman" w:cs="Times New Roman"/>
          <w:sz w:val="24"/>
          <w:szCs w:val="24"/>
        </w:rPr>
        <w:t xml:space="preserve"> similar for nationals of Vietnam, Cambodia, &amp; Laos</w:t>
      </w:r>
    </w:p>
    <w:p w14:paraId="13C2FBA9" w14:textId="77777777" w:rsidR="00AA25A4" w:rsidRDefault="00AA25A4" w:rsidP="00AA25A4">
      <w:pPr>
        <w:pStyle w:val="ListParagraph"/>
        <w:spacing w:after="0"/>
        <w:ind w:left="1440"/>
        <w:rPr>
          <w:rFonts w:ascii="Times New Roman" w:hAnsi="Times New Roman" w:cs="Times New Roman"/>
          <w:sz w:val="24"/>
          <w:szCs w:val="24"/>
        </w:rPr>
      </w:pPr>
    </w:p>
    <w:p w14:paraId="5B934BE4" w14:textId="40A29932" w:rsidR="00AA25A4" w:rsidRDefault="00AA25A4" w:rsidP="00AA25A4">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“the BIA has referenced two regulations that confer broad powers to IJs and the BIA to manage their dockets as the authority for administrative closure.”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6-7.)</w:t>
      </w:r>
    </w:p>
    <w:p w14:paraId="38DBE270" w14:textId="57345151" w:rsidR="00AA25A4" w:rsidRPr="00AA25A4" w:rsidRDefault="00AA25A4" w:rsidP="00AA25A4">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8 C.F.R. § 1003.10(b):</w:t>
      </w:r>
      <w:r>
        <w:rPr>
          <w:rFonts w:ascii="Times New Roman" w:hAnsi="Times New Roman" w:cs="Times New Roman"/>
          <w:sz w:val="24"/>
          <w:szCs w:val="24"/>
        </w:rPr>
        <w:t xml:space="preserve"> powers &amp; duties of IJs (see attached for full text)</w:t>
      </w:r>
    </w:p>
    <w:p w14:paraId="7A6120FD" w14:textId="6EACBCE2" w:rsidR="00AA25A4" w:rsidRDefault="00AA25A4" w:rsidP="00AA25A4">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8 C.F.R. § 10</w:t>
      </w:r>
      <w:r w:rsidR="006C5079">
        <w:rPr>
          <w:rFonts w:ascii="Times New Roman" w:hAnsi="Times New Roman" w:cs="Times New Roman"/>
          <w:b/>
          <w:bCs/>
          <w:sz w:val="24"/>
          <w:szCs w:val="24"/>
        </w:rPr>
        <w:t>0</w:t>
      </w:r>
      <w:r>
        <w:rPr>
          <w:rFonts w:ascii="Times New Roman" w:hAnsi="Times New Roman" w:cs="Times New Roman"/>
          <w:b/>
          <w:bCs/>
          <w:sz w:val="24"/>
          <w:szCs w:val="24"/>
        </w:rPr>
        <w:t>3.1(d)(1)(ii):</w:t>
      </w:r>
      <w:r>
        <w:rPr>
          <w:rFonts w:ascii="Times New Roman" w:hAnsi="Times New Roman" w:cs="Times New Roman"/>
          <w:sz w:val="24"/>
          <w:szCs w:val="24"/>
        </w:rPr>
        <w:t xml:space="preserve"> powers of BIA members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       “)</w:t>
      </w:r>
    </w:p>
    <w:p w14:paraId="5E1973EE" w14:textId="77777777" w:rsidR="00AA25A4" w:rsidRDefault="00AA25A4" w:rsidP="00AA25A4">
      <w:pPr>
        <w:pStyle w:val="ListParagraph"/>
        <w:spacing w:after="0"/>
        <w:ind w:left="1440"/>
        <w:rPr>
          <w:rFonts w:ascii="Times New Roman" w:hAnsi="Times New Roman" w:cs="Times New Roman"/>
          <w:sz w:val="24"/>
          <w:szCs w:val="24"/>
        </w:rPr>
      </w:pPr>
    </w:p>
    <w:p w14:paraId="44992C4E" w14:textId="16C59907" w:rsidR="00AA25A4" w:rsidRDefault="00AA25A4" w:rsidP="00AA25A4">
      <w:pPr>
        <w:pStyle w:val="ListParagraph"/>
        <w:numPr>
          <w:ilvl w:val="0"/>
          <w:numId w:val="1"/>
        </w:numPr>
        <w:spacing w:after="0"/>
        <w:rPr>
          <w:rFonts w:ascii="Times New Roman" w:hAnsi="Times New Roman" w:cs="Times New Roman"/>
          <w:sz w:val="24"/>
          <w:szCs w:val="24"/>
        </w:rPr>
      </w:pPr>
      <w:r>
        <w:rPr>
          <w:rFonts w:ascii="Times New Roman" w:hAnsi="Times New Roman" w:cs="Times New Roman"/>
          <w:i/>
          <w:iCs/>
          <w:sz w:val="24"/>
          <w:szCs w:val="24"/>
        </w:rPr>
        <w:t xml:space="preserve">Matter of Avetisyan </w:t>
      </w:r>
      <w:r>
        <w:rPr>
          <w:rFonts w:ascii="Times New Roman" w:hAnsi="Times New Roman" w:cs="Times New Roman"/>
          <w:sz w:val="24"/>
          <w:szCs w:val="24"/>
        </w:rPr>
        <w:t xml:space="preserve">(BIA 2012): </w:t>
      </w:r>
    </w:p>
    <w:p w14:paraId="360454F5" w14:textId="7D497214" w:rsidR="00AA25A4" w:rsidRDefault="00AA25A4" w:rsidP="00AA25A4">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“[d]</w:t>
      </w:r>
      <w:proofErr w:type="spellStart"/>
      <w:r>
        <w:rPr>
          <w:rFonts w:ascii="Times New Roman" w:hAnsi="Times New Roman" w:cs="Times New Roman"/>
          <w:sz w:val="24"/>
          <w:szCs w:val="24"/>
        </w:rPr>
        <w:t>uring</w:t>
      </w:r>
      <w:proofErr w:type="spellEnd"/>
      <w:r>
        <w:rPr>
          <w:rFonts w:ascii="Times New Roman" w:hAnsi="Times New Roman" w:cs="Times New Roman"/>
          <w:sz w:val="24"/>
          <w:szCs w:val="24"/>
        </w:rPr>
        <w:t xml:space="preserve"> the course of proceedings, an </w:t>
      </w:r>
      <w:r w:rsidR="006C5079">
        <w:rPr>
          <w:rFonts w:ascii="Times New Roman" w:hAnsi="Times New Roman" w:cs="Times New Roman"/>
          <w:sz w:val="24"/>
          <w:szCs w:val="24"/>
        </w:rPr>
        <w:t>Immigration Judge</w:t>
      </w:r>
      <w:r>
        <w:rPr>
          <w:rFonts w:ascii="Times New Roman" w:hAnsi="Times New Roman" w:cs="Times New Roman"/>
          <w:sz w:val="24"/>
          <w:szCs w:val="24"/>
        </w:rPr>
        <w:t xml:space="preserve"> or the </w:t>
      </w:r>
      <w:r w:rsidR="006C5079">
        <w:rPr>
          <w:rFonts w:ascii="Times New Roman" w:hAnsi="Times New Roman" w:cs="Times New Roman"/>
          <w:sz w:val="24"/>
          <w:szCs w:val="24"/>
        </w:rPr>
        <w:t>Board</w:t>
      </w:r>
      <w:r>
        <w:rPr>
          <w:rFonts w:ascii="Times New Roman" w:hAnsi="Times New Roman" w:cs="Times New Roman"/>
          <w:sz w:val="24"/>
          <w:szCs w:val="24"/>
        </w:rPr>
        <w:t xml:space="preserve"> may find it necessary or, in the interests of justice and fairness to the parties, prudent to defer further action for some period of time.” </w:t>
      </w:r>
      <w:r w:rsidR="006C5079" w:rsidRPr="006C5079">
        <w:rPr>
          <w:rFonts w:ascii="Times New Roman" w:hAnsi="Times New Roman" w:cs="Times New Roman"/>
          <w:i/>
          <w:iCs/>
          <w:sz w:val="24"/>
          <w:szCs w:val="24"/>
        </w:rPr>
        <w:t>Matter of Avetisyan</w:t>
      </w:r>
      <w:r w:rsidR="006C5079" w:rsidRPr="006C5079">
        <w:rPr>
          <w:rFonts w:ascii="Times New Roman" w:hAnsi="Times New Roman" w:cs="Times New Roman"/>
          <w:sz w:val="24"/>
          <w:szCs w:val="24"/>
        </w:rPr>
        <w:t>, 25 I&amp;N Dec. 688</w:t>
      </w:r>
      <w:r w:rsidR="006C5079">
        <w:rPr>
          <w:rFonts w:ascii="Times New Roman" w:hAnsi="Times New Roman" w:cs="Times New Roman"/>
          <w:sz w:val="24"/>
          <w:szCs w:val="24"/>
        </w:rPr>
        <w:t>, 691</w:t>
      </w:r>
      <w:r w:rsidR="006C5079" w:rsidRPr="006C5079">
        <w:rPr>
          <w:rFonts w:ascii="Times New Roman" w:hAnsi="Times New Roman" w:cs="Times New Roman"/>
          <w:sz w:val="24"/>
          <w:szCs w:val="24"/>
        </w:rPr>
        <w:t xml:space="preserve"> (BIA 2012)</w:t>
      </w:r>
      <w:r w:rsidR="006C5079">
        <w:rPr>
          <w:rFonts w:ascii="Times New Roman" w:hAnsi="Times New Roman" w:cs="Times New Roman"/>
          <w:sz w:val="24"/>
          <w:szCs w:val="24"/>
        </w:rPr>
        <w:t>.</w:t>
      </w:r>
    </w:p>
    <w:p w14:paraId="05AA5B03" w14:textId="77777777" w:rsidR="006C5079" w:rsidRDefault="006C5079" w:rsidP="006C5079">
      <w:pPr>
        <w:pStyle w:val="ListParagraph"/>
        <w:spacing w:after="0"/>
        <w:ind w:left="1440"/>
        <w:rPr>
          <w:rFonts w:ascii="Times New Roman" w:hAnsi="Times New Roman" w:cs="Times New Roman"/>
          <w:sz w:val="24"/>
          <w:szCs w:val="24"/>
        </w:rPr>
      </w:pPr>
    </w:p>
    <w:p w14:paraId="32262AEC" w14:textId="3EA64751" w:rsidR="006C5079" w:rsidRDefault="006C5079" w:rsidP="006C5079">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“In this vein, the BIA has </w:t>
      </w:r>
      <w:proofErr w:type="gramStart"/>
      <w:r>
        <w:rPr>
          <w:rFonts w:ascii="Times New Roman" w:hAnsi="Times New Roman" w:cs="Times New Roman"/>
          <w:sz w:val="24"/>
          <w:szCs w:val="24"/>
        </w:rPr>
        <w:t>issued  numerous</w:t>
      </w:r>
      <w:proofErr w:type="gramEnd"/>
      <w:r>
        <w:rPr>
          <w:rFonts w:ascii="Times New Roman" w:hAnsi="Times New Roman" w:cs="Times New Roman"/>
          <w:sz w:val="24"/>
          <w:szCs w:val="24"/>
        </w:rPr>
        <w:t xml:space="preserve"> decisions authorizing IJs to administratively close cases for a variety of reasons related to conservation of court resources.”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8-9.</w:t>
      </w:r>
    </w:p>
    <w:p w14:paraId="0C0ACCC4" w14:textId="77777777" w:rsidR="00160242" w:rsidRDefault="00160242" w:rsidP="00160242">
      <w:pPr>
        <w:pStyle w:val="ListParagraph"/>
        <w:spacing w:after="0"/>
        <w:rPr>
          <w:rFonts w:ascii="Times New Roman" w:hAnsi="Times New Roman" w:cs="Times New Roman"/>
          <w:sz w:val="24"/>
          <w:szCs w:val="24"/>
        </w:rPr>
      </w:pPr>
    </w:p>
    <w:p w14:paraId="17D562F1" w14:textId="19E79210" w:rsidR="006C5079" w:rsidRDefault="006C5079" w:rsidP="006C5079">
      <w:pPr>
        <w:pStyle w:val="ListParagraph"/>
        <w:numPr>
          <w:ilvl w:val="0"/>
          <w:numId w:val="1"/>
        </w:numPr>
        <w:spacing w:after="0"/>
        <w:rPr>
          <w:rFonts w:ascii="Times New Roman" w:hAnsi="Times New Roman" w:cs="Times New Roman"/>
          <w:sz w:val="24"/>
          <w:szCs w:val="24"/>
        </w:rPr>
      </w:pPr>
      <w:r>
        <w:rPr>
          <w:rFonts w:ascii="Times New Roman" w:hAnsi="Times New Roman" w:cs="Times New Roman"/>
          <w:i/>
          <w:iCs/>
          <w:sz w:val="24"/>
          <w:szCs w:val="24"/>
        </w:rPr>
        <w:t>Matter of Castro-Tum</w:t>
      </w:r>
      <w:r>
        <w:rPr>
          <w:rFonts w:ascii="Times New Roman" w:hAnsi="Times New Roman" w:cs="Times New Roman"/>
          <w:sz w:val="24"/>
          <w:szCs w:val="24"/>
        </w:rPr>
        <w:t xml:space="preserve"> (A.G. 2018):</w:t>
      </w:r>
    </w:p>
    <w:p w14:paraId="63DB2DB4" w14:textId="4E5D73B0" w:rsidR="006C5079" w:rsidRDefault="006C5079" w:rsidP="006C5079">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Those statutes don’t confer the power to administratively close cases.</w:t>
      </w:r>
    </w:p>
    <w:p w14:paraId="722C105C" w14:textId="68718950" w:rsidR="006C5079" w:rsidRDefault="006C5079" w:rsidP="006C5079">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And anyway, administrative closure isn’t timely or efficient.</w:t>
      </w:r>
    </w:p>
    <w:p w14:paraId="66AD9E86" w14:textId="3A7D17E6" w:rsidR="006C5079" w:rsidRDefault="006C5079" w:rsidP="006C5079">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So IJs &amp; BIA can only administratively close if specifically authorized by statute.</w:t>
      </w:r>
    </w:p>
    <w:p w14:paraId="6C0AB59C" w14:textId="67A60970" w:rsidR="006C5079" w:rsidRDefault="006C5079" w:rsidP="006C5079">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 xml:space="preserve">“The Attorney General concluded that to the extent any existing regulations delegated the general authority to administratively close cases, he was exercising his ‘discretion to revoke it because the practice of administrative closure thwarts the efficient and even-handed resolution of immigration proceedings.’”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10; </w:t>
      </w:r>
      <w:r>
        <w:rPr>
          <w:rFonts w:ascii="Times New Roman" w:hAnsi="Times New Roman" w:cs="Times New Roman"/>
          <w:i/>
          <w:iCs/>
          <w:sz w:val="24"/>
          <w:szCs w:val="24"/>
        </w:rPr>
        <w:t>see Matter of Castro-Tum</w:t>
      </w:r>
      <w:r>
        <w:rPr>
          <w:rFonts w:ascii="Times New Roman" w:hAnsi="Times New Roman" w:cs="Times New Roman"/>
          <w:sz w:val="24"/>
          <w:szCs w:val="24"/>
        </w:rPr>
        <w:t xml:space="preserve"> at 288 n.10.</w:t>
      </w:r>
    </w:p>
    <w:p w14:paraId="67C5033F" w14:textId="77777777" w:rsidR="006C5079" w:rsidRDefault="006C5079" w:rsidP="006C5079">
      <w:pPr>
        <w:pStyle w:val="ListParagraph"/>
        <w:spacing w:after="0"/>
        <w:ind w:left="1440"/>
        <w:rPr>
          <w:rFonts w:ascii="Times New Roman" w:hAnsi="Times New Roman" w:cs="Times New Roman"/>
          <w:sz w:val="24"/>
          <w:szCs w:val="24"/>
        </w:rPr>
      </w:pPr>
    </w:p>
    <w:p w14:paraId="23B659DA" w14:textId="7E47912D" w:rsidR="006C5079" w:rsidRDefault="00727AA7" w:rsidP="006C5079">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Matters of Deference to BIA’s Interpretation:</w:t>
      </w:r>
    </w:p>
    <w:p w14:paraId="1A995AB2" w14:textId="4845BA00" w:rsidR="00727AA7" w:rsidRDefault="00727AA7" w:rsidP="00727AA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 xml:space="preserve">No </w:t>
      </w:r>
      <w:r>
        <w:rPr>
          <w:rFonts w:ascii="Times New Roman" w:hAnsi="Times New Roman" w:cs="Times New Roman"/>
          <w:i/>
          <w:iCs/>
          <w:sz w:val="24"/>
          <w:szCs w:val="24"/>
        </w:rPr>
        <w:t xml:space="preserve">Auer </w:t>
      </w:r>
      <w:r>
        <w:rPr>
          <w:rFonts w:ascii="Times New Roman" w:hAnsi="Times New Roman" w:cs="Times New Roman"/>
          <w:sz w:val="24"/>
          <w:szCs w:val="24"/>
        </w:rPr>
        <w:t>deference required, because the regulations are not ambiguous.</w:t>
      </w:r>
    </w:p>
    <w:p w14:paraId="36531E24" w14:textId="23A8A24D" w:rsidR="00727AA7" w:rsidRDefault="00727AA7" w:rsidP="00727AA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Even if the regulations </w:t>
      </w:r>
      <w:r>
        <w:rPr>
          <w:rFonts w:ascii="Times New Roman" w:hAnsi="Times New Roman" w:cs="Times New Roman"/>
          <w:i/>
          <w:iCs/>
          <w:sz w:val="24"/>
          <w:szCs w:val="24"/>
        </w:rPr>
        <w:t>were</w:t>
      </w:r>
      <w:r>
        <w:rPr>
          <w:rFonts w:ascii="Times New Roman" w:hAnsi="Times New Roman" w:cs="Times New Roman"/>
          <w:sz w:val="24"/>
          <w:szCs w:val="24"/>
        </w:rPr>
        <w:t xml:space="preserve"> ambiguous, the agency’s interpretation would have to be </w:t>
      </w:r>
    </w:p>
    <w:p w14:paraId="17671A39" w14:textId="67B4B13D" w:rsidR="00727AA7" w:rsidRDefault="00727AA7" w:rsidP="00727AA7">
      <w:pPr>
        <w:pStyle w:val="ListParagraph"/>
        <w:numPr>
          <w:ilvl w:val="3"/>
          <w:numId w:val="1"/>
        </w:numPr>
        <w:spacing w:after="0"/>
        <w:rPr>
          <w:rFonts w:ascii="Times New Roman" w:hAnsi="Times New Roman" w:cs="Times New Roman"/>
          <w:sz w:val="24"/>
          <w:szCs w:val="24"/>
        </w:rPr>
      </w:pPr>
      <w:r>
        <w:rPr>
          <w:rFonts w:ascii="Times New Roman" w:hAnsi="Times New Roman" w:cs="Times New Roman"/>
          <w:sz w:val="24"/>
          <w:szCs w:val="24"/>
        </w:rPr>
        <w:t>Reasonable and</w:t>
      </w:r>
    </w:p>
    <w:p w14:paraId="1A00624E" w14:textId="655F530E" w:rsidR="00727AA7" w:rsidRDefault="00727AA7" w:rsidP="00727AA7">
      <w:pPr>
        <w:pStyle w:val="ListParagraph"/>
        <w:numPr>
          <w:ilvl w:val="3"/>
          <w:numId w:val="1"/>
        </w:numPr>
        <w:spacing w:after="0"/>
        <w:rPr>
          <w:rFonts w:ascii="Times New Roman" w:hAnsi="Times New Roman" w:cs="Times New Roman"/>
          <w:sz w:val="24"/>
          <w:szCs w:val="24"/>
        </w:rPr>
      </w:pPr>
      <w:r>
        <w:rPr>
          <w:rFonts w:ascii="Times New Roman" w:hAnsi="Times New Roman" w:cs="Times New Roman"/>
          <w:sz w:val="24"/>
          <w:szCs w:val="24"/>
        </w:rPr>
        <w:t>In keeping with the character and context of the agency’s interpretation in the past</w:t>
      </w:r>
    </w:p>
    <w:p w14:paraId="15021A4D" w14:textId="64A80CC5" w:rsidR="00727AA7" w:rsidRDefault="00727AA7" w:rsidP="00727AA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“Finally—and most important for this case—</w:t>
      </w:r>
      <w:r>
        <w:rPr>
          <w:rFonts w:ascii="Times New Roman" w:hAnsi="Times New Roman" w:cs="Times New Roman"/>
          <w:i/>
          <w:iCs/>
          <w:sz w:val="24"/>
          <w:szCs w:val="24"/>
        </w:rPr>
        <w:t>Auer</w:t>
      </w:r>
      <w:r>
        <w:rPr>
          <w:rFonts w:ascii="Times New Roman" w:hAnsi="Times New Roman" w:cs="Times New Roman"/>
          <w:sz w:val="24"/>
          <w:szCs w:val="24"/>
        </w:rPr>
        <w:t xml:space="preserve"> deference does not apply ‘to a new interpretation . . . that creates ‘unfair surprise’ to regulated parties.’”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12; </w:t>
      </w:r>
      <w:r>
        <w:rPr>
          <w:rFonts w:ascii="Times New Roman" w:hAnsi="Times New Roman" w:cs="Times New Roman"/>
          <w:i/>
          <w:iCs/>
          <w:sz w:val="24"/>
          <w:szCs w:val="24"/>
        </w:rPr>
        <w:t xml:space="preserve">see </w:t>
      </w:r>
      <w:proofErr w:type="spellStart"/>
      <w:r>
        <w:rPr>
          <w:rFonts w:ascii="Times New Roman" w:hAnsi="Times New Roman" w:cs="Times New Roman"/>
          <w:i/>
          <w:iCs/>
          <w:sz w:val="24"/>
          <w:szCs w:val="24"/>
        </w:rPr>
        <w:t>Kisor</w:t>
      </w:r>
      <w:proofErr w:type="spellEnd"/>
      <w:r>
        <w:rPr>
          <w:rFonts w:ascii="Times New Roman" w:hAnsi="Times New Roman" w:cs="Times New Roman"/>
          <w:i/>
          <w:iCs/>
          <w:sz w:val="24"/>
          <w:szCs w:val="24"/>
        </w:rPr>
        <w:t xml:space="preserve"> v. </w:t>
      </w:r>
      <w:proofErr w:type="spellStart"/>
      <w:r>
        <w:rPr>
          <w:rFonts w:ascii="Times New Roman" w:hAnsi="Times New Roman" w:cs="Times New Roman"/>
          <w:i/>
          <w:iCs/>
          <w:sz w:val="24"/>
          <w:szCs w:val="24"/>
        </w:rPr>
        <w:t>Wilkie</w:t>
      </w:r>
      <w:proofErr w:type="spellEnd"/>
      <w:r>
        <w:rPr>
          <w:rFonts w:ascii="Times New Roman" w:hAnsi="Times New Roman" w:cs="Times New Roman"/>
          <w:sz w:val="24"/>
          <w:szCs w:val="24"/>
        </w:rPr>
        <w:t>, 139 S. Ct. 2400, 2418 (2019).</w:t>
      </w:r>
    </w:p>
    <w:p w14:paraId="1DFED662" w14:textId="7B753A98" w:rsidR="00727AA7" w:rsidRDefault="00727AA7" w:rsidP="003A7756">
      <w:pPr>
        <w:spacing w:after="0"/>
        <w:rPr>
          <w:rFonts w:ascii="Times New Roman" w:hAnsi="Times New Roman" w:cs="Times New Roman"/>
          <w:sz w:val="24"/>
          <w:szCs w:val="24"/>
        </w:rPr>
      </w:pPr>
    </w:p>
    <w:p w14:paraId="5B55C4F7" w14:textId="3475012F" w:rsidR="003A7756" w:rsidRPr="003A7756" w:rsidRDefault="003A7756" w:rsidP="003A7756">
      <w:pPr>
        <w:spacing w:after="0"/>
        <w:rPr>
          <w:rFonts w:ascii="Times New Roman" w:hAnsi="Times New Roman" w:cs="Times New Roman"/>
          <w:b/>
          <w:bCs/>
          <w:sz w:val="24"/>
          <w:szCs w:val="24"/>
        </w:rPr>
      </w:pPr>
      <w:r>
        <w:rPr>
          <w:rFonts w:ascii="Times New Roman" w:hAnsi="Times New Roman" w:cs="Times New Roman"/>
          <w:b/>
          <w:bCs/>
          <w:sz w:val="24"/>
          <w:szCs w:val="24"/>
        </w:rPr>
        <w:t xml:space="preserve">Analysis of </w:t>
      </w:r>
      <w:r>
        <w:rPr>
          <w:rFonts w:ascii="Times New Roman" w:hAnsi="Times New Roman" w:cs="Times New Roman"/>
          <w:b/>
          <w:bCs/>
          <w:i/>
          <w:iCs/>
          <w:sz w:val="24"/>
          <w:szCs w:val="24"/>
        </w:rPr>
        <w:t>Castro-Tum</w:t>
      </w:r>
      <w:r>
        <w:rPr>
          <w:rFonts w:ascii="Times New Roman" w:hAnsi="Times New Roman" w:cs="Times New Roman"/>
          <w:b/>
          <w:bCs/>
          <w:sz w:val="24"/>
          <w:szCs w:val="24"/>
        </w:rPr>
        <w:t>:</w:t>
      </w:r>
    </w:p>
    <w:p w14:paraId="7F2FB7B8" w14:textId="29F565B3" w:rsidR="00727AA7" w:rsidRDefault="00727AA7" w:rsidP="003A7756">
      <w:pPr>
        <w:pStyle w:val="ListParagraph"/>
        <w:numPr>
          <w:ilvl w:val="0"/>
          <w:numId w:val="1"/>
        </w:numPr>
        <w:spacing w:after="0"/>
        <w:rPr>
          <w:rFonts w:ascii="Times New Roman" w:hAnsi="Times New Roman" w:cs="Times New Roman"/>
          <w:sz w:val="24"/>
          <w:szCs w:val="24"/>
        </w:rPr>
      </w:pPr>
      <w:r w:rsidRPr="003A7756">
        <w:rPr>
          <w:rFonts w:ascii="Times New Roman" w:hAnsi="Times New Roman" w:cs="Times New Roman"/>
          <w:sz w:val="24"/>
          <w:szCs w:val="24"/>
        </w:rPr>
        <w:t>“</w:t>
      </w:r>
      <w:r w:rsidR="003A7756" w:rsidRPr="003A7756">
        <w:rPr>
          <w:rFonts w:ascii="Times New Roman" w:hAnsi="Times New Roman" w:cs="Times New Roman"/>
          <w:sz w:val="24"/>
          <w:szCs w:val="24"/>
        </w:rPr>
        <w:t xml:space="preserve">…we conclude that the plain language of 8 C.F.R. § 1003.10(b) </w:t>
      </w:r>
      <w:r w:rsidR="003A7756">
        <w:rPr>
          <w:rFonts w:ascii="Times New Roman" w:hAnsi="Times New Roman" w:cs="Times New Roman"/>
          <w:sz w:val="24"/>
          <w:szCs w:val="24"/>
        </w:rPr>
        <w:t xml:space="preserve">and </w:t>
      </w:r>
      <w:r w:rsidR="003A7756" w:rsidRPr="003A7756">
        <w:rPr>
          <w:rFonts w:ascii="Times New Roman" w:hAnsi="Times New Roman" w:cs="Times New Roman"/>
          <w:sz w:val="24"/>
          <w:szCs w:val="24"/>
        </w:rPr>
        <w:t>8 C.F.R. § 1003.1(d)(1)(ii)</w:t>
      </w:r>
      <w:r w:rsidR="003A7756">
        <w:rPr>
          <w:rFonts w:ascii="Times New Roman" w:hAnsi="Times New Roman" w:cs="Times New Roman"/>
          <w:sz w:val="24"/>
          <w:szCs w:val="24"/>
        </w:rPr>
        <w:t xml:space="preserve"> unambiguously confers upon IJs and the BIA the general authority to administratively close cases such that an </w:t>
      </w:r>
      <w:r w:rsidR="003A7756">
        <w:rPr>
          <w:rFonts w:ascii="Times New Roman" w:hAnsi="Times New Roman" w:cs="Times New Roman"/>
          <w:i/>
          <w:iCs/>
          <w:sz w:val="24"/>
          <w:szCs w:val="24"/>
        </w:rPr>
        <w:t>Auer</w:t>
      </w:r>
      <w:r w:rsidR="003A7756">
        <w:rPr>
          <w:rFonts w:ascii="Times New Roman" w:hAnsi="Times New Roman" w:cs="Times New Roman"/>
          <w:sz w:val="24"/>
          <w:szCs w:val="24"/>
        </w:rPr>
        <w:t xml:space="preserve"> deference assessment is not warranted. But even if the regulations were ambiguous, we alternatively conclude that deference under either </w:t>
      </w:r>
      <w:r w:rsidR="003A7756">
        <w:rPr>
          <w:rFonts w:ascii="Times New Roman" w:hAnsi="Times New Roman" w:cs="Times New Roman"/>
          <w:i/>
          <w:iCs/>
          <w:sz w:val="24"/>
          <w:szCs w:val="24"/>
        </w:rPr>
        <w:t xml:space="preserve">Auer </w:t>
      </w:r>
      <w:r w:rsidR="003A7756">
        <w:rPr>
          <w:rFonts w:ascii="Times New Roman" w:hAnsi="Times New Roman" w:cs="Times New Roman"/>
          <w:sz w:val="24"/>
          <w:szCs w:val="24"/>
        </w:rPr>
        <w:t xml:space="preserve">or </w:t>
      </w:r>
      <w:r w:rsidR="003A7756">
        <w:rPr>
          <w:rFonts w:ascii="Times New Roman" w:hAnsi="Times New Roman" w:cs="Times New Roman"/>
          <w:i/>
          <w:iCs/>
          <w:sz w:val="24"/>
          <w:szCs w:val="24"/>
        </w:rPr>
        <w:t>Skidmore v. Swift &amp; Co.</w:t>
      </w:r>
      <w:r w:rsidR="003A7756">
        <w:rPr>
          <w:rFonts w:ascii="Times New Roman" w:hAnsi="Times New Roman" w:cs="Times New Roman"/>
          <w:sz w:val="24"/>
          <w:szCs w:val="24"/>
        </w:rPr>
        <w:t xml:space="preserve">, 323 U.S. 134, 140 (1944), is not merited.” </w:t>
      </w:r>
      <w:r w:rsidR="003A7756">
        <w:rPr>
          <w:rFonts w:ascii="Times New Roman" w:hAnsi="Times New Roman" w:cs="Times New Roman"/>
          <w:i/>
          <w:iCs/>
          <w:sz w:val="24"/>
          <w:szCs w:val="24"/>
        </w:rPr>
        <w:t>Zuniga Romero v. Barr</w:t>
      </w:r>
      <w:r w:rsidR="003A7756">
        <w:rPr>
          <w:rFonts w:ascii="Times New Roman" w:hAnsi="Times New Roman" w:cs="Times New Roman"/>
          <w:sz w:val="24"/>
          <w:szCs w:val="24"/>
        </w:rPr>
        <w:t xml:space="preserve"> at 13.</w:t>
      </w:r>
    </w:p>
    <w:p w14:paraId="464B401F" w14:textId="155E399F" w:rsidR="003A7756" w:rsidRDefault="003A7756" w:rsidP="003A7756">
      <w:pPr>
        <w:pStyle w:val="ListParagraph"/>
        <w:spacing w:after="0"/>
        <w:rPr>
          <w:rFonts w:ascii="Times New Roman" w:hAnsi="Times New Roman" w:cs="Times New Roman"/>
          <w:sz w:val="24"/>
          <w:szCs w:val="24"/>
        </w:rPr>
      </w:pPr>
    </w:p>
    <w:p w14:paraId="5AD54800" w14:textId="43380D87" w:rsidR="00160242" w:rsidRDefault="00160242" w:rsidP="003A7756">
      <w:pPr>
        <w:pStyle w:val="ListParagraph"/>
        <w:spacing w:after="0"/>
        <w:rPr>
          <w:rFonts w:ascii="Times New Roman" w:hAnsi="Times New Roman" w:cs="Times New Roman"/>
          <w:sz w:val="24"/>
          <w:szCs w:val="24"/>
        </w:rPr>
      </w:pPr>
    </w:p>
    <w:p w14:paraId="586BD29A" w14:textId="77777777" w:rsidR="00160242" w:rsidRDefault="00160242" w:rsidP="003A7756">
      <w:pPr>
        <w:pStyle w:val="ListParagraph"/>
        <w:spacing w:after="0"/>
        <w:rPr>
          <w:rFonts w:ascii="Times New Roman" w:hAnsi="Times New Roman" w:cs="Times New Roman"/>
          <w:sz w:val="24"/>
          <w:szCs w:val="24"/>
        </w:rPr>
      </w:pPr>
    </w:p>
    <w:p w14:paraId="3677B8B2" w14:textId="09DFF713" w:rsidR="003A7756" w:rsidRDefault="003A7756" w:rsidP="003A7756">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lastRenderedPageBreak/>
        <w:t>Do these regulations confer authority on IJs and the Board to administratively close cases?</w:t>
      </w:r>
    </w:p>
    <w:p w14:paraId="70164DF8" w14:textId="27A11D3D" w:rsidR="003A7756" w:rsidRDefault="003A7756" w:rsidP="003A7756">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Gov’t says no.</w:t>
      </w:r>
    </w:p>
    <w:p w14:paraId="6AEB84F9" w14:textId="0A72E816" w:rsidR="003A7756" w:rsidRDefault="003A7756" w:rsidP="003A7756">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“But Romero points to the expansive language in those regulations as conferring such authority</w:t>
      </w:r>
      <w:r w:rsidR="0081438A">
        <w:rPr>
          <w:rFonts w:ascii="Times New Roman" w:hAnsi="Times New Roman" w:cs="Times New Roman"/>
          <w:sz w:val="24"/>
          <w:szCs w:val="24"/>
        </w:rPr>
        <w:t xml:space="preserve">.” </w:t>
      </w:r>
    </w:p>
    <w:p w14:paraId="753E3F73" w14:textId="31A67460" w:rsidR="0081438A" w:rsidRPr="0081438A" w:rsidRDefault="0081438A" w:rsidP="003A7756">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8 C.F.R. § 1003.10(b):</w:t>
      </w:r>
      <w:r>
        <w:rPr>
          <w:rFonts w:ascii="Times New Roman" w:hAnsi="Times New Roman" w:cs="Times New Roman"/>
          <w:sz w:val="24"/>
          <w:szCs w:val="24"/>
        </w:rPr>
        <w:t xml:space="preserve"> </w:t>
      </w:r>
      <w:r>
        <w:rPr>
          <w:rFonts w:ascii="Times New Roman" w:hAnsi="Times New Roman" w:cs="Times New Roman"/>
          <w:color w:val="000000"/>
          <w:sz w:val="24"/>
          <w:szCs w:val="24"/>
          <w:shd w:val="clear" w:color="auto" w:fill="FFFFFF"/>
        </w:rPr>
        <w:t>“</w:t>
      </w:r>
      <w:r w:rsidRPr="00AD0157">
        <w:rPr>
          <w:rFonts w:ascii="Times New Roman" w:hAnsi="Times New Roman" w:cs="Times New Roman"/>
          <w:color w:val="000000"/>
          <w:sz w:val="24"/>
          <w:szCs w:val="24"/>
          <w:shd w:val="clear" w:color="auto" w:fill="FFFFFF"/>
        </w:rPr>
        <w:t>In deciding the individual cases before them, and subject to the applicable governing standards, immigration judges shall exercise their independent judgment and discretion and may take any action consistent with their authorities under the Act and regulations that is appropriate and necessary for the disposition of such cases.</w:t>
      </w:r>
      <w:r>
        <w:rPr>
          <w:rFonts w:ascii="Times New Roman" w:hAnsi="Times New Roman" w:cs="Times New Roman"/>
          <w:color w:val="000000"/>
          <w:sz w:val="24"/>
          <w:szCs w:val="24"/>
          <w:shd w:val="clear" w:color="auto" w:fill="FFFFFF"/>
        </w:rPr>
        <w:t>”</w:t>
      </w:r>
    </w:p>
    <w:p w14:paraId="59CB57B9" w14:textId="53179234" w:rsidR="0081438A" w:rsidRPr="0081438A" w:rsidRDefault="0081438A" w:rsidP="003A7756">
      <w:pPr>
        <w:pStyle w:val="ListParagraph"/>
        <w:numPr>
          <w:ilvl w:val="1"/>
          <w:numId w:val="1"/>
        </w:numPr>
        <w:spacing w:after="0"/>
        <w:rPr>
          <w:rFonts w:ascii="Times New Roman" w:hAnsi="Times New Roman" w:cs="Times New Roman"/>
          <w:sz w:val="24"/>
          <w:szCs w:val="24"/>
        </w:rPr>
      </w:pPr>
      <w:r>
        <w:rPr>
          <w:rFonts w:ascii="Times New Roman" w:hAnsi="Times New Roman" w:cs="Times New Roman"/>
          <w:b/>
          <w:bCs/>
          <w:sz w:val="24"/>
          <w:szCs w:val="24"/>
        </w:rPr>
        <w:t>8 C.F.R. § 1003.1(d)(1)(ii):</w:t>
      </w:r>
      <w:r>
        <w:rPr>
          <w:rFonts w:ascii="Times New Roman" w:hAnsi="Times New Roman" w:cs="Times New Roman"/>
          <w:sz w:val="24"/>
          <w:szCs w:val="24"/>
        </w:rPr>
        <w:t xml:space="preserve"> “</w:t>
      </w:r>
      <w:r w:rsidRPr="00AD0157">
        <w:rPr>
          <w:rFonts w:ascii="Times New Roman" w:hAnsi="Times New Roman" w:cs="Times New Roman"/>
          <w:color w:val="000000"/>
          <w:sz w:val="24"/>
          <w:szCs w:val="24"/>
          <w:shd w:val="clear" w:color="auto" w:fill="FFFFFF"/>
        </w:rPr>
        <w:t>Board members shall exercise their independent judgment and discretion in considering and determining the cases coming before the Board, and a panel or Board member to whom a case is assigned may take any action consistent with their authorities under the Act and the regulations as is appropriate and necessary for the disposition of the case.</w:t>
      </w:r>
      <w:r>
        <w:rPr>
          <w:rFonts w:ascii="Times New Roman" w:hAnsi="Times New Roman" w:cs="Times New Roman"/>
          <w:color w:val="000000"/>
          <w:sz w:val="24"/>
          <w:szCs w:val="24"/>
          <w:shd w:val="clear" w:color="auto" w:fill="FFFFFF"/>
        </w:rPr>
        <w:t>”</w:t>
      </w:r>
    </w:p>
    <w:p w14:paraId="4A50B28D" w14:textId="77777777" w:rsidR="0081438A" w:rsidRPr="0081438A" w:rsidRDefault="0081438A" w:rsidP="0081438A">
      <w:pPr>
        <w:pStyle w:val="ListParagraph"/>
        <w:spacing w:after="0"/>
        <w:ind w:left="1440"/>
        <w:rPr>
          <w:rFonts w:ascii="Times New Roman" w:hAnsi="Times New Roman" w:cs="Times New Roman"/>
          <w:sz w:val="24"/>
          <w:szCs w:val="24"/>
        </w:rPr>
      </w:pPr>
    </w:p>
    <w:p w14:paraId="0E5E4F5E" w14:textId="550ED90F" w:rsidR="0081438A" w:rsidRDefault="0081438A" w:rsidP="0081438A">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“…we clearly discern from the text that the authority of IJs and the BIA to administratively close cases is conferred by the plain language” of these statutes.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14.</w:t>
      </w:r>
    </w:p>
    <w:p w14:paraId="35AA0358" w14:textId="446A6909" w:rsidR="0081438A" w:rsidRDefault="0081438A" w:rsidP="0081438A">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 xml:space="preserve">“any action” includes administrative closure: “this would plainly include docket management actions such as administrative closure, which often facilitate, as discussed above and below, case resolution.”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14-15.</w:t>
      </w:r>
    </w:p>
    <w:p w14:paraId="414C568A" w14:textId="77777777" w:rsidR="0081438A" w:rsidRDefault="0081438A" w:rsidP="0081438A">
      <w:pPr>
        <w:pStyle w:val="ListParagraph"/>
        <w:spacing w:after="0"/>
        <w:ind w:left="1440"/>
        <w:rPr>
          <w:rFonts w:ascii="Times New Roman" w:hAnsi="Times New Roman" w:cs="Times New Roman"/>
          <w:sz w:val="24"/>
          <w:szCs w:val="24"/>
        </w:rPr>
      </w:pPr>
    </w:p>
    <w:p w14:paraId="02850701" w14:textId="06566F15" w:rsidR="0081438A" w:rsidRDefault="0081438A" w:rsidP="0081438A">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Is administrative closure ever “appropriate and necessary”?</w:t>
      </w:r>
    </w:p>
    <w:p w14:paraId="4D4A0119" w14:textId="5651A2C7" w:rsidR="0081438A" w:rsidRDefault="0081438A" w:rsidP="0081438A">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Yes: continuances are not always the most appropriate mechanism, because some delays cannot be resolved by the action of one of the parties (as would be expected with a short continuance). Where an indefinite delay can only be resolved by actions outside the parties’ control, administrative closure is the most appropriate path.</w:t>
      </w:r>
    </w:p>
    <w:p w14:paraId="14DE919A" w14:textId="099B618A" w:rsidR="0081438A" w:rsidRPr="00D7403F" w:rsidRDefault="0081438A" w:rsidP="0081438A">
      <w:pPr>
        <w:pStyle w:val="ListParagraph"/>
        <w:numPr>
          <w:ilvl w:val="1"/>
          <w:numId w:val="1"/>
        </w:numPr>
        <w:spacing w:after="0"/>
        <w:rPr>
          <w:rFonts w:ascii="Times New Roman" w:hAnsi="Times New Roman" w:cs="Times New Roman"/>
          <w:b/>
          <w:bCs/>
          <w:sz w:val="24"/>
          <w:szCs w:val="24"/>
        </w:rPr>
      </w:pPr>
      <w:r w:rsidRPr="00D7403F">
        <w:rPr>
          <w:rFonts w:ascii="Times New Roman" w:hAnsi="Times New Roman" w:cs="Times New Roman"/>
          <w:b/>
          <w:bCs/>
          <w:sz w:val="24"/>
          <w:szCs w:val="24"/>
        </w:rPr>
        <w:t>“…expecting IJs and the BIA to employ conti</w:t>
      </w:r>
      <w:r w:rsidR="00D7403F" w:rsidRPr="00D7403F">
        <w:rPr>
          <w:rFonts w:ascii="Times New Roman" w:hAnsi="Times New Roman" w:cs="Times New Roman"/>
          <w:b/>
          <w:bCs/>
          <w:sz w:val="24"/>
          <w:szCs w:val="24"/>
        </w:rPr>
        <w:t>n</w:t>
      </w:r>
      <w:r w:rsidRPr="00D7403F">
        <w:rPr>
          <w:rFonts w:ascii="Times New Roman" w:hAnsi="Times New Roman" w:cs="Times New Roman"/>
          <w:b/>
          <w:bCs/>
          <w:sz w:val="24"/>
          <w:szCs w:val="24"/>
        </w:rPr>
        <w:t xml:space="preserve">uances </w:t>
      </w:r>
      <w:r w:rsidR="00D7403F" w:rsidRPr="00D7403F">
        <w:rPr>
          <w:rFonts w:ascii="Times New Roman" w:hAnsi="Times New Roman" w:cs="Times New Roman"/>
          <w:b/>
          <w:bCs/>
          <w:sz w:val="24"/>
          <w:szCs w:val="24"/>
        </w:rPr>
        <w:t>i</w:t>
      </w:r>
      <w:r w:rsidRPr="00D7403F">
        <w:rPr>
          <w:rFonts w:ascii="Times New Roman" w:hAnsi="Times New Roman" w:cs="Times New Roman"/>
          <w:b/>
          <w:bCs/>
          <w:sz w:val="24"/>
          <w:szCs w:val="24"/>
        </w:rPr>
        <w:t>n the stead of</w:t>
      </w:r>
      <w:r w:rsidR="00D7403F" w:rsidRPr="00D7403F">
        <w:rPr>
          <w:rFonts w:ascii="Times New Roman" w:hAnsi="Times New Roman" w:cs="Times New Roman"/>
          <w:b/>
          <w:bCs/>
          <w:sz w:val="24"/>
          <w:szCs w:val="24"/>
        </w:rPr>
        <w:t xml:space="preserve"> administrative closure would further remove the discretion of these adjudicators to fashion the most flexible and appropriate resolution of a case.”</w:t>
      </w:r>
      <w:r w:rsidR="00D7403F">
        <w:rPr>
          <w:rFonts w:ascii="Times New Roman" w:hAnsi="Times New Roman" w:cs="Times New Roman"/>
          <w:b/>
          <w:bCs/>
          <w:sz w:val="24"/>
          <w:szCs w:val="24"/>
        </w:rPr>
        <w:t xml:space="preserve"> </w:t>
      </w:r>
      <w:r w:rsidR="00D7403F">
        <w:rPr>
          <w:rFonts w:ascii="Times New Roman" w:hAnsi="Times New Roman" w:cs="Times New Roman"/>
          <w:i/>
          <w:iCs/>
          <w:sz w:val="24"/>
          <w:szCs w:val="24"/>
        </w:rPr>
        <w:t>Zuniga Romero v. Barr</w:t>
      </w:r>
      <w:r w:rsidR="00D7403F">
        <w:rPr>
          <w:rFonts w:ascii="Times New Roman" w:hAnsi="Times New Roman" w:cs="Times New Roman"/>
          <w:sz w:val="24"/>
          <w:szCs w:val="24"/>
        </w:rPr>
        <w:t xml:space="preserve"> at 15 n.12.</w:t>
      </w:r>
    </w:p>
    <w:p w14:paraId="28F99E50" w14:textId="77777777" w:rsidR="00D7403F" w:rsidRPr="00D7403F" w:rsidRDefault="00D7403F" w:rsidP="00D7403F">
      <w:pPr>
        <w:pStyle w:val="ListParagraph"/>
        <w:spacing w:after="0"/>
        <w:ind w:left="1440"/>
        <w:rPr>
          <w:rFonts w:ascii="Times New Roman" w:hAnsi="Times New Roman" w:cs="Times New Roman"/>
          <w:b/>
          <w:bCs/>
          <w:sz w:val="24"/>
          <w:szCs w:val="24"/>
        </w:rPr>
      </w:pPr>
    </w:p>
    <w:p w14:paraId="3F32595F" w14:textId="21EF5211" w:rsidR="00D7403F" w:rsidRPr="00D7403F" w:rsidRDefault="00D7403F" w:rsidP="0081438A">
      <w:pPr>
        <w:pStyle w:val="ListParagraph"/>
        <w:numPr>
          <w:ilvl w:val="1"/>
          <w:numId w:val="1"/>
        </w:numPr>
        <w:spacing w:after="0"/>
        <w:rPr>
          <w:rFonts w:ascii="Times New Roman" w:hAnsi="Times New Roman" w:cs="Times New Roman"/>
          <w:b/>
          <w:bCs/>
          <w:sz w:val="24"/>
          <w:szCs w:val="24"/>
        </w:rPr>
      </w:pPr>
      <w:r>
        <w:rPr>
          <w:rFonts w:ascii="Times New Roman" w:hAnsi="Times New Roman" w:cs="Times New Roman"/>
          <w:i/>
          <w:iCs/>
          <w:sz w:val="24"/>
          <w:szCs w:val="24"/>
        </w:rPr>
        <w:t xml:space="preserve">“Avetisyan </w:t>
      </w:r>
      <w:r w:rsidRPr="00D7403F">
        <w:rPr>
          <w:rFonts w:ascii="Times New Roman" w:hAnsi="Times New Roman" w:cs="Times New Roman"/>
          <w:sz w:val="24"/>
          <w:szCs w:val="24"/>
        </w:rPr>
        <w:t>demonstrates how suspension of the case may in fact expedite and result in a final disposition.”</w:t>
      </w:r>
      <w:r>
        <w:rPr>
          <w:rFonts w:ascii="Times New Roman" w:hAnsi="Times New Roman" w:cs="Times New Roman"/>
          <w:sz w:val="24"/>
          <w:szCs w:val="24"/>
        </w:rPr>
        <w:t xml:space="preserv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15 n.13.</w:t>
      </w:r>
    </w:p>
    <w:p w14:paraId="39A58D5C" w14:textId="77777777" w:rsidR="00D7403F" w:rsidRPr="00D7403F" w:rsidRDefault="00D7403F" w:rsidP="00D7403F">
      <w:pPr>
        <w:pStyle w:val="ListParagraph"/>
        <w:rPr>
          <w:rFonts w:ascii="Times New Roman" w:hAnsi="Times New Roman" w:cs="Times New Roman"/>
          <w:b/>
          <w:bCs/>
          <w:sz w:val="24"/>
          <w:szCs w:val="24"/>
        </w:rPr>
      </w:pPr>
    </w:p>
    <w:p w14:paraId="752C2572" w14:textId="74DF46E5" w:rsidR="00D7403F" w:rsidRPr="00D7403F" w:rsidRDefault="00D7403F" w:rsidP="00D7403F">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sz w:val="24"/>
          <w:szCs w:val="24"/>
        </w:rPr>
        <w:t xml:space="preserve">“In sum, these regulations unambiguously confer upon IJs and the BIA the general authority to administratively close cases. Accordingly, there is no </w:t>
      </w:r>
      <w:r>
        <w:rPr>
          <w:rFonts w:ascii="Times New Roman" w:hAnsi="Times New Roman" w:cs="Times New Roman"/>
          <w:i/>
          <w:iCs/>
          <w:sz w:val="24"/>
          <w:szCs w:val="24"/>
        </w:rPr>
        <w:t>Auer</w:t>
      </w:r>
      <w:r>
        <w:rPr>
          <w:rFonts w:ascii="Times New Roman" w:hAnsi="Times New Roman" w:cs="Times New Roman"/>
          <w:sz w:val="24"/>
          <w:szCs w:val="24"/>
        </w:rPr>
        <w:t xml:space="preserve"> deference analysis to be conducted. </w:t>
      </w:r>
      <w:r>
        <w:rPr>
          <w:rFonts w:ascii="Times New Roman" w:hAnsi="Times New Roman" w:cs="Times New Roman"/>
          <w:b/>
          <w:bCs/>
          <w:i/>
          <w:iCs/>
          <w:sz w:val="24"/>
          <w:szCs w:val="24"/>
        </w:rPr>
        <w:t>Castro-Tum</w:t>
      </w:r>
      <w:r>
        <w:rPr>
          <w:rFonts w:ascii="Times New Roman" w:hAnsi="Times New Roman" w:cs="Times New Roman"/>
          <w:b/>
          <w:bCs/>
          <w:sz w:val="24"/>
          <w:szCs w:val="24"/>
        </w:rPr>
        <w:t>’s interpretation of these regulations is therefore in error.</w:t>
      </w:r>
      <w:r>
        <w:rPr>
          <w:rFonts w:ascii="Times New Roman" w:hAnsi="Times New Roman" w:cs="Times New Roman"/>
          <w:sz w:val="24"/>
          <w:szCs w:val="24"/>
        </w:rPr>
        <w:t xml:space="preserv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18.</w:t>
      </w:r>
    </w:p>
    <w:p w14:paraId="34AFAF23" w14:textId="77777777" w:rsidR="00D7403F" w:rsidRPr="00D7403F" w:rsidRDefault="00D7403F" w:rsidP="00D7403F">
      <w:pPr>
        <w:pStyle w:val="ListParagraph"/>
        <w:spacing w:after="0"/>
        <w:rPr>
          <w:rFonts w:ascii="Times New Roman" w:hAnsi="Times New Roman" w:cs="Times New Roman"/>
          <w:b/>
          <w:bCs/>
          <w:sz w:val="24"/>
          <w:szCs w:val="24"/>
        </w:rPr>
      </w:pPr>
    </w:p>
    <w:p w14:paraId="0005AD8A" w14:textId="034E695C" w:rsidR="00D7403F" w:rsidRPr="00D7403F" w:rsidRDefault="00D7403F" w:rsidP="00D7403F">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sz w:val="24"/>
          <w:szCs w:val="24"/>
        </w:rPr>
        <w:lastRenderedPageBreak/>
        <w:t xml:space="preserve">Even if the regulations </w:t>
      </w:r>
      <w:r>
        <w:rPr>
          <w:rFonts w:ascii="Times New Roman" w:hAnsi="Times New Roman" w:cs="Times New Roman"/>
          <w:i/>
          <w:iCs/>
          <w:sz w:val="24"/>
          <w:szCs w:val="24"/>
        </w:rPr>
        <w:t>were</w:t>
      </w:r>
      <w:r>
        <w:rPr>
          <w:rFonts w:ascii="Times New Roman" w:hAnsi="Times New Roman" w:cs="Times New Roman"/>
          <w:sz w:val="24"/>
          <w:szCs w:val="24"/>
        </w:rPr>
        <w:t xml:space="preserve"> ambiguous, </w:t>
      </w:r>
      <w:r>
        <w:rPr>
          <w:rFonts w:ascii="Times New Roman" w:hAnsi="Times New Roman" w:cs="Times New Roman"/>
          <w:i/>
          <w:iCs/>
          <w:sz w:val="24"/>
          <w:szCs w:val="24"/>
        </w:rPr>
        <w:t>Castro-Tum</w:t>
      </w:r>
      <w:r>
        <w:rPr>
          <w:rFonts w:ascii="Times New Roman" w:hAnsi="Times New Roman" w:cs="Times New Roman"/>
          <w:sz w:val="24"/>
          <w:szCs w:val="24"/>
        </w:rPr>
        <w:t xml:space="preserve"> represents such a departure from the A.G.’s interpretation that it amounts to unfair surprise:</w:t>
      </w:r>
    </w:p>
    <w:p w14:paraId="6C52BA42" w14:textId="2907B963" w:rsidR="00D7403F" w:rsidRPr="00D7403F" w:rsidRDefault="00D7403F" w:rsidP="00D7403F">
      <w:pPr>
        <w:pStyle w:val="ListParagraph"/>
        <w:numPr>
          <w:ilvl w:val="1"/>
          <w:numId w:val="1"/>
        </w:numPr>
        <w:spacing w:after="0"/>
        <w:rPr>
          <w:rFonts w:ascii="Times New Roman" w:hAnsi="Times New Roman" w:cs="Times New Roman"/>
          <w:b/>
          <w:bCs/>
          <w:sz w:val="24"/>
          <w:szCs w:val="24"/>
        </w:rPr>
      </w:pPr>
      <w:r>
        <w:rPr>
          <w:rFonts w:ascii="Times New Roman" w:hAnsi="Times New Roman" w:cs="Times New Roman"/>
          <w:sz w:val="24"/>
          <w:szCs w:val="24"/>
        </w:rPr>
        <w:t xml:space="preserve">“the Attorney General’s reading of the regulations does not warrant deference because it amounts to an ‘unfair surprise’ disrupting the regulated parties’ expectations.”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19 (quoting </w:t>
      </w:r>
      <w:proofErr w:type="spellStart"/>
      <w:r>
        <w:rPr>
          <w:rFonts w:ascii="Times New Roman" w:hAnsi="Times New Roman" w:cs="Times New Roman"/>
          <w:i/>
          <w:iCs/>
          <w:sz w:val="24"/>
          <w:szCs w:val="24"/>
        </w:rPr>
        <w:t>Kisor</w:t>
      </w:r>
      <w:proofErr w:type="spellEnd"/>
      <w:r>
        <w:rPr>
          <w:rFonts w:ascii="Times New Roman" w:hAnsi="Times New Roman" w:cs="Times New Roman"/>
          <w:sz w:val="24"/>
          <w:szCs w:val="24"/>
        </w:rPr>
        <w:t xml:space="preserve">, 139 S. Ct. at 2417-18, quoting in turn </w:t>
      </w:r>
      <w:r>
        <w:rPr>
          <w:rFonts w:ascii="Times New Roman" w:hAnsi="Times New Roman" w:cs="Times New Roman"/>
          <w:i/>
          <w:iCs/>
          <w:sz w:val="24"/>
          <w:szCs w:val="24"/>
        </w:rPr>
        <w:t>Long Island Care at Home, Ltd. V. Coke</w:t>
      </w:r>
      <w:r>
        <w:rPr>
          <w:rFonts w:ascii="Times New Roman" w:hAnsi="Times New Roman" w:cs="Times New Roman"/>
          <w:sz w:val="24"/>
          <w:szCs w:val="24"/>
        </w:rPr>
        <w:t>, 551 U.S. 158, 170 (2007)).</w:t>
      </w:r>
    </w:p>
    <w:p w14:paraId="285FCFAD" w14:textId="77777777" w:rsidR="00D7403F" w:rsidRPr="00D7403F" w:rsidRDefault="00D7403F" w:rsidP="00D7403F">
      <w:pPr>
        <w:pStyle w:val="ListParagraph"/>
        <w:spacing w:after="0"/>
        <w:ind w:left="1440"/>
        <w:rPr>
          <w:rFonts w:ascii="Times New Roman" w:hAnsi="Times New Roman" w:cs="Times New Roman"/>
          <w:b/>
          <w:bCs/>
          <w:sz w:val="24"/>
          <w:szCs w:val="24"/>
        </w:rPr>
      </w:pPr>
    </w:p>
    <w:p w14:paraId="637C0CE6" w14:textId="0F29C8D0" w:rsidR="00D7403F" w:rsidRPr="00D7403F" w:rsidRDefault="00D7403F" w:rsidP="00D7403F">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b/>
          <w:bCs/>
          <w:sz w:val="24"/>
          <w:szCs w:val="24"/>
        </w:rPr>
        <w:t xml:space="preserve">“…the new interpretation in </w:t>
      </w:r>
      <w:r>
        <w:rPr>
          <w:rFonts w:ascii="Times New Roman" w:hAnsi="Times New Roman" w:cs="Times New Roman"/>
          <w:b/>
          <w:bCs/>
          <w:i/>
          <w:iCs/>
          <w:sz w:val="24"/>
          <w:szCs w:val="24"/>
        </w:rPr>
        <w:t>Castro-Tum</w:t>
      </w:r>
      <w:r>
        <w:rPr>
          <w:rFonts w:ascii="Times New Roman" w:hAnsi="Times New Roman" w:cs="Times New Roman"/>
          <w:b/>
          <w:bCs/>
          <w:sz w:val="24"/>
          <w:szCs w:val="24"/>
        </w:rPr>
        <w:t xml:space="preserve"> (1) breaks with decades of the agency’s use and acceptance of administrative closure and (2) fails to give ‘fair warning’ to the regulated parties of a change in a longstanding procedure.”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21.</w:t>
      </w:r>
    </w:p>
    <w:p w14:paraId="510997D2" w14:textId="77777777" w:rsidR="00D7403F" w:rsidRPr="00D7403F" w:rsidRDefault="00D7403F" w:rsidP="00D7403F">
      <w:pPr>
        <w:pStyle w:val="ListParagraph"/>
        <w:spacing w:after="0"/>
        <w:rPr>
          <w:rFonts w:ascii="Times New Roman" w:hAnsi="Times New Roman" w:cs="Times New Roman"/>
          <w:b/>
          <w:bCs/>
          <w:sz w:val="24"/>
          <w:szCs w:val="24"/>
        </w:rPr>
      </w:pPr>
    </w:p>
    <w:p w14:paraId="47833234" w14:textId="0170EBF7" w:rsidR="00D7403F" w:rsidRPr="00460A1B" w:rsidRDefault="00D7403F" w:rsidP="00D7403F">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sz w:val="24"/>
          <w:szCs w:val="24"/>
        </w:rPr>
        <w:t>“…administrative closure has been a procedural mechanism employed by IJs and the BIA since the late 1980s and consistently reaffirmed</w:t>
      </w:r>
      <w:r w:rsidR="00460A1B">
        <w:rPr>
          <w:rFonts w:ascii="Times New Roman" w:hAnsi="Times New Roman" w:cs="Times New Roman"/>
          <w:sz w:val="24"/>
          <w:szCs w:val="24"/>
        </w:rPr>
        <w:t xml:space="preserve">—even if its precise contours have changed—through the BIA’s precedential decisions.” </w:t>
      </w:r>
      <w:r w:rsidR="00460A1B">
        <w:rPr>
          <w:rFonts w:ascii="Times New Roman" w:hAnsi="Times New Roman" w:cs="Times New Roman"/>
          <w:i/>
          <w:iCs/>
          <w:sz w:val="24"/>
          <w:szCs w:val="24"/>
        </w:rPr>
        <w:t>Zuniga Romero v. Barr</w:t>
      </w:r>
      <w:r w:rsidR="00460A1B">
        <w:rPr>
          <w:rFonts w:ascii="Times New Roman" w:hAnsi="Times New Roman" w:cs="Times New Roman"/>
          <w:sz w:val="24"/>
          <w:szCs w:val="24"/>
        </w:rPr>
        <w:t xml:space="preserve"> at 22.</w:t>
      </w:r>
    </w:p>
    <w:p w14:paraId="2FA9D59F" w14:textId="77777777" w:rsidR="00460A1B" w:rsidRPr="00460A1B" w:rsidRDefault="00460A1B" w:rsidP="00460A1B">
      <w:pPr>
        <w:pStyle w:val="ListParagraph"/>
        <w:rPr>
          <w:rFonts w:ascii="Times New Roman" w:hAnsi="Times New Roman" w:cs="Times New Roman"/>
          <w:b/>
          <w:bCs/>
          <w:sz w:val="24"/>
          <w:szCs w:val="24"/>
        </w:rPr>
      </w:pPr>
    </w:p>
    <w:p w14:paraId="64190A37" w14:textId="4DDC58A2" w:rsidR="00460A1B" w:rsidRPr="00460A1B" w:rsidRDefault="00460A1B" w:rsidP="00D7403F">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sz w:val="24"/>
          <w:szCs w:val="24"/>
        </w:rPr>
        <w:t>“Accordingly, numerous petitioners have relied on this long-established procedural mechanism to proceed through the immigration process. To suddenly change this interpretation of the regulation undermines the significant reliance interests such petitioners have developed</w:t>
      </w:r>
      <w:proofErr w:type="gramStart"/>
      <w:r>
        <w:rPr>
          <w:rFonts w:ascii="Times New Roman" w:hAnsi="Times New Roman" w:cs="Times New Roman"/>
          <w:sz w:val="24"/>
          <w:szCs w:val="24"/>
        </w:rPr>
        <w:t>. . . .</w:t>
      </w:r>
      <w:proofErr w:type="gramEnd"/>
      <w:r>
        <w:rPr>
          <w:rFonts w:ascii="Times New Roman" w:hAnsi="Times New Roman" w:cs="Times New Roman"/>
          <w:sz w:val="24"/>
          <w:szCs w:val="24"/>
        </w:rPr>
        <w:t xml:space="preserve"> </w:t>
      </w:r>
      <w:r w:rsidRPr="00460A1B">
        <w:rPr>
          <w:rFonts w:ascii="Times New Roman" w:hAnsi="Times New Roman" w:cs="Times New Roman"/>
          <w:b/>
          <w:bCs/>
          <w:sz w:val="24"/>
          <w:szCs w:val="24"/>
        </w:rPr>
        <w:t>[S]</w:t>
      </w:r>
      <w:proofErr w:type="spellStart"/>
      <w:r w:rsidRPr="00460A1B">
        <w:rPr>
          <w:rFonts w:ascii="Times New Roman" w:hAnsi="Times New Roman" w:cs="Times New Roman"/>
          <w:b/>
          <w:bCs/>
          <w:sz w:val="24"/>
          <w:szCs w:val="24"/>
        </w:rPr>
        <w:t>uch</w:t>
      </w:r>
      <w:proofErr w:type="spellEnd"/>
      <w:r w:rsidRPr="00460A1B">
        <w:rPr>
          <w:rFonts w:ascii="Times New Roman" w:hAnsi="Times New Roman" w:cs="Times New Roman"/>
          <w:b/>
          <w:bCs/>
          <w:sz w:val="24"/>
          <w:szCs w:val="24"/>
        </w:rPr>
        <w:t xml:space="preserve"> a sudden shift in longstanding agency interpretation frustrates mechanisms</w:t>
      </w:r>
      <w:r>
        <w:rPr>
          <w:rFonts w:ascii="Times New Roman" w:hAnsi="Times New Roman" w:cs="Times New Roman"/>
          <w:b/>
          <w:bCs/>
          <w:sz w:val="24"/>
          <w:szCs w:val="24"/>
        </w:rPr>
        <w:t xml:space="preserve"> for predictability that are supposed to be baked into the administrative process.</w:t>
      </w:r>
      <w:r>
        <w:rPr>
          <w:rFonts w:ascii="Times New Roman" w:hAnsi="Times New Roman" w:cs="Times New Roman"/>
          <w:sz w:val="24"/>
          <w:szCs w:val="24"/>
        </w:rPr>
        <w:t xml:space="preserve">” </w:t>
      </w:r>
      <w:r>
        <w:rPr>
          <w:rFonts w:ascii="Times New Roman" w:hAnsi="Times New Roman" w:cs="Times New Roman"/>
          <w:i/>
          <w:iCs/>
          <w:sz w:val="24"/>
          <w:szCs w:val="24"/>
        </w:rPr>
        <w:t>See Christopher v. SmithKline Beecham Corp.</w:t>
      </w:r>
      <w:r>
        <w:rPr>
          <w:rFonts w:ascii="Times New Roman" w:hAnsi="Times New Roman" w:cs="Times New Roman"/>
          <w:sz w:val="24"/>
          <w:szCs w:val="24"/>
        </w:rPr>
        <w:t>, 567 U.S. 142, 158 (2012).</w:t>
      </w:r>
    </w:p>
    <w:p w14:paraId="6F4C27C4" w14:textId="77777777" w:rsidR="00460A1B" w:rsidRPr="00460A1B" w:rsidRDefault="00460A1B" w:rsidP="00460A1B">
      <w:pPr>
        <w:pStyle w:val="ListParagraph"/>
        <w:rPr>
          <w:rFonts w:ascii="Times New Roman" w:hAnsi="Times New Roman" w:cs="Times New Roman"/>
          <w:b/>
          <w:bCs/>
          <w:sz w:val="24"/>
          <w:szCs w:val="24"/>
        </w:rPr>
      </w:pPr>
    </w:p>
    <w:p w14:paraId="19410AE8" w14:textId="4D6BB31E" w:rsidR="00460A1B" w:rsidRPr="00460A1B" w:rsidRDefault="00460A1B" w:rsidP="00D7403F">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i/>
          <w:iCs/>
          <w:sz w:val="24"/>
          <w:szCs w:val="24"/>
        </w:rPr>
        <w:t>Castro-Tum</w:t>
      </w:r>
      <w:r>
        <w:rPr>
          <w:rFonts w:ascii="Times New Roman" w:hAnsi="Times New Roman" w:cs="Times New Roman"/>
          <w:sz w:val="24"/>
          <w:szCs w:val="24"/>
        </w:rPr>
        <w:t xml:space="preserve"> is “internally inconsistent”:</w:t>
      </w:r>
    </w:p>
    <w:p w14:paraId="37C370AC" w14:textId="4431942B" w:rsidR="00460A1B" w:rsidRPr="009C2488" w:rsidRDefault="009C2488" w:rsidP="00460A1B">
      <w:pPr>
        <w:pStyle w:val="ListParagraph"/>
        <w:numPr>
          <w:ilvl w:val="1"/>
          <w:numId w:val="1"/>
        </w:numPr>
        <w:spacing w:after="0"/>
        <w:rPr>
          <w:rFonts w:ascii="Times New Roman" w:hAnsi="Times New Roman" w:cs="Times New Roman"/>
          <w:b/>
          <w:bCs/>
          <w:sz w:val="24"/>
          <w:szCs w:val="24"/>
        </w:rPr>
      </w:pPr>
      <w:r>
        <w:rPr>
          <w:rFonts w:ascii="Times New Roman" w:hAnsi="Times New Roman" w:cs="Times New Roman"/>
          <w:sz w:val="24"/>
          <w:szCs w:val="24"/>
        </w:rPr>
        <w:t xml:space="preserve">“…it would in fact serve to lengthen and delay many of these proceedings by: (1) depriving IJs and the BIA of flexible docketing measures sometimes required for adjudication of an immigration proceeding, as illustrated by </w:t>
      </w:r>
      <w:r>
        <w:rPr>
          <w:rFonts w:ascii="Times New Roman" w:hAnsi="Times New Roman" w:cs="Times New Roman"/>
          <w:i/>
          <w:iCs/>
          <w:sz w:val="24"/>
          <w:szCs w:val="24"/>
        </w:rPr>
        <w:t>Avetisyan</w:t>
      </w:r>
      <w:r>
        <w:rPr>
          <w:rFonts w:ascii="Times New Roman" w:hAnsi="Times New Roman" w:cs="Times New Roman"/>
          <w:sz w:val="24"/>
          <w:szCs w:val="24"/>
        </w:rPr>
        <w:t xml:space="preserve">, and (2) leading to the reopening of over 330,000 cases upon the motion of either party, straining the burden on immigration courts that </w:t>
      </w:r>
      <w:r>
        <w:rPr>
          <w:rFonts w:ascii="Times New Roman" w:hAnsi="Times New Roman" w:cs="Times New Roman"/>
          <w:i/>
          <w:iCs/>
          <w:sz w:val="24"/>
          <w:szCs w:val="24"/>
        </w:rPr>
        <w:t>Castro-Tum</w:t>
      </w:r>
      <w:r>
        <w:rPr>
          <w:rFonts w:ascii="Times New Roman" w:hAnsi="Times New Roman" w:cs="Times New Roman"/>
          <w:sz w:val="24"/>
          <w:szCs w:val="24"/>
        </w:rPr>
        <w:t xml:space="preserve"> purports to alleviate.”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22.</w:t>
      </w:r>
    </w:p>
    <w:p w14:paraId="3D0E1947" w14:textId="77777777" w:rsidR="009C2488" w:rsidRPr="009C2488" w:rsidRDefault="009C2488" w:rsidP="009C2488">
      <w:pPr>
        <w:pStyle w:val="ListParagraph"/>
        <w:spacing w:after="0"/>
        <w:ind w:left="1440"/>
        <w:rPr>
          <w:rFonts w:ascii="Times New Roman" w:hAnsi="Times New Roman" w:cs="Times New Roman"/>
          <w:b/>
          <w:bCs/>
          <w:sz w:val="24"/>
          <w:szCs w:val="24"/>
        </w:rPr>
      </w:pPr>
    </w:p>
    <w:p w14:paraId="0C26B670" w14:textId="7908EE5D" w:rsidR="009C2488" w:rsidRPr="009C2488" w:rsidRDefault="009C2488" w:rsidP="009C2488">
      <w:pPr>
        <w:pStyle w:val="ListParagraph"/>
        <w:numPr>
          <w:ilvl w:val="0"/>
          <w:numId w:val="1"/>
        </w:numPr>
        <w:spacing w:after="0"/>
        <w:rPr>
          <w:rFonts w:ascii="Times New Roman" w:hAnsi="Times New Roman" w:cs="Times New Roman"/>
          <w:b/>
          <w:bCs/>
          <w:sz w:val="24"/>
          <w:szCs w:val="24"/>
        </w:rPr>
      </w:pPr>
      <w:r>
        <w:rPr>
          <w:rFonts w:ascii="Times New Roman" w:hAnsi="Times New Roman" w:cs="Times New Roman"/>
          <w:i/>
          <w:iCs/>
          <w:sz w:val="24"/>
          <w:szCs w:val="24"/>
        </w:rPr>
        <w:t xml:space="preserve">Skidmore </w:t>
      </w:r>
      <w:r>
        <w:rPr>
          <w:rFonts w:ascii="Times New Roman" w:hAnsi="Times New Roman" w:cs="Times New Roman"/>
          <w:sz w:val="24"/>
          <w:szCs w:val="24"/>
        </w:rPr>
        <w:t>deference is also unwarranted:</w:t>
      </w:r>
    </w:p>
    <w:p w14:paraId="66AD53ED" w14:textId="2A09AEA2" w:rsidR="009C2488" w:rsidRPr="00D7403F" w:rsidRDefault="009C2488" w:rsidP="009C2488">
      <w:pPr>
        <w:pStyle w:val="ListParagraph"/>
        <w:numPr>
          <w:ilvl w:val="1"/>
          <w:numId w:val="1"/>
        </w:numPr>
        <w:spacing w:after="0"/>
        <w:rPr>
          <w:rFonts w:ascii="Times New Roman" w:hAnsi="Times New Roman" w:cs="Times New Roman"/>
          <w:b/>
          <w:bCs/>
          <w:sz w:val="24"/>
          <w:szCs w:val="24"/>
        </w:rPr>
      </w:pPr>
      <w:r>
        <w:rPr>
          <w:rFonts w:ascii="Times New Roman" w:hAnsi="Times New Roman" w:cs="Times New Roman"/>
          <w:sz w:val="24"/>
          <w:szCs w:val="24"/>
        </w:rPr>
        <w:t xml:space="preserve">“And here, a court reviewing </w:t>
      </w:r>
      <w:r>
        <w:rPr>
          <w:rFonts w:ascii="Times New Roman" w:hAnsi="Times New Roman" w:cs="Times New Roman"/>
          <w:i/>
          <w:iCs/>
          <w:sz w:val="24"/>
          <w:szCs w:val="24"/>
        </w:rPr>
        <w:t>Castro-Tum</w:t>
      </w:r>
      <w:r>
        <w:rPr>
          <w:rFonts w:ascii="Times New Roman" w:hAnsi="Times New Roman" w:cs="Times New Roman"/>
          <w:sz w:val="24"/>
          <w:szCs w:val="24"/>
        </w:rPr>
        <w:t xml:space="preserve"> for </w:t>
      </w:r>
      <w:r>
        <w:rPr>
          <w:rFonts w:ascii="Times New Roman" w:hAnsi="Times New Roman" w:cs="Times New Roman"/>
          <w:i/>
          <w:iCs/>
          <w:sz w:val="24"/>
          <w:szCs w:val="24"/>
        </w:rPr>
        <w:t>Skidmore</w:t>
      </w:r>
      <w:r>
        <w:rPr>
          <w:rFonts w:ascii="Times New Roman" w:hAnsi="Times New Roman" w:cs="Times New Roman"/>
          <w:sz w:val="24"/>
          <w:szCs w:val="24"/>
        </w:rPr>
        <w:t xml:space="preserve"> deference would not be persuaded to adopt the agency’s own interpretation of its regulation for substantially the same reasons it is not entitled to </w:t>
      </w:r>
      <w:r>
        <w:rPr>
          <w:rFonts w:ascii="Times New Roman" w:hAnsi="Times New Roman" w:cs="Times New Roman"/>
          <w:i/>
          <w:iCs/>
          <w:sz w:val="24"/>
          <w:szCs w:val="24"/>
        </w:rPr>
        <w:t>Auer</w:t>
      </w:r>
      <w:r>
        <w:rPr>
          <w:rFonts w:ascii="Times New Roman" w:hAnsi="Times New Roman" w:cs="Times New Roman"/>
          <w:sz w:val="24"/>
          <w:szCs w:val="24"/>
        </w:rPr>
        <w:t xml:space="preserve"> deference: because it represents a stark departure, without notice, from long-used practice and thereby cannot be deemed consistent with earlier and later pronouncements.”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23.</w:t>
      </w:r>
    </w:p>
    <w:p w14:paraId="7B788B30" w14:textId="77777777" w:rsidR="00AA25A4" w:rsidRPr="00AA25A4" w:rsidRDefault="00AA25A4" w:rsidP="00AA25A4">
      <w:pPr>
        <w:pStyle w:val="ListParagraph"/>
        <w:spacing w:after="0"/>
        <w:ind w:left="1440"/>
        <w:rPr>
          <w:rFonts w:ascii="Times New Roman" w:hAnsi="Times New Roman" w:cs="Times New Roman"/>
          <w:sz w:val="24"/>
          <w:szCs w:val="24"/>
        </w:rPr>
      </w:pPr>
    </w:p>
    <w:p w14:paraId="03066BBD" w14:textId="63A14AA1" w:rsidR="001E5127" w:rsidRPr="001E5127" w:rsidRDefault="001E5127" w:rsidP="00AA25A4">
      <w:pPr>
        <w:pStyle w:val="ListParagraph"/>
        <w:spacing w:after="0"/>
        <w:ind w:left="1440"/>
        <w:rPr>
          <w:rFonts w:ascii="Times New Roman" w:hAnsi="Times New Roman" w:cs="Times New Roman"/>
          <w:sz w:val="24"/>
          <w:szCs w:val="24"/>
        </w:rPr>
      </w:pPr>
    </w:p>
    <w:p w14:paraId="48365C7B" w14:textId="77777777" w:rsidR="001E5127" w:rsidRDefault="001E5127" w:rsidP="00F835C4">
      <w:pPr>
        <w:spacing w:after="0"/>
        <w:rPr>
          <w:rFonts w:ascii="Times New Roman" w:hAnsi="Times New Roman" w:cs="Times New Roman"/>
          <w:b/>
          <w:bCs/>
          <w:sz w:val="24"/>
          <w:szCs w:val="24"/>
        </w:rPr>
      </w:pPr>
    </w:p>
    <w:sectPr w:rsidR="001E512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36535A" w14:textId="77777777" w:rsidR="003D6FA7" w:rsidRDefault="003D6FA7" w:rsidP="004E5C23">
      <w:pPr>
        <w:spacing w:after="0" w:line="240" w:lineRule="auto"/>
      </w:pPr>
      <w:r>
        <w:separator/>
      </w:r>
    </w:p>
  </w:endnote>
  <w:endnote w:type="continuationSeparator" w:id="0">
    <w:p w14:paraId="053AD4F5" w14:textId="77777777" w:rsidR="003D6FA7" w:rsidRDefault="003D6FA7" w:rsidP="004E5C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4B4BA2" w14:textId="77777777" w:rsidR="003D6FA7" w:rsidRDefault="003D6FA7" w:rsidP="004E5C23">
      <w:pPr>
        <w:spacing w:after="0" w:line="240" w:lineRule="auto"/>
      </w:pPr>
      <w:r>
        <w:separator/>
      </w:r>
    </w:p>
  </w:footnote>
  <w:footnote w:type="continuationSeparator" w:id="0">
    <w:p w14:paraId="12BF6196" w14:textId="77777777" w:rsidR="003D6FA7" w:rsidRDefault="003D6FA7" w:rsidP="004E5C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5880B" w14:textId="189E4B07" w:rsidR="004E5C23" w:rsidRDefault="003D6FA7">
    <w:pPr>
      <w:pStyle w:val="Header"/>
    </w:pPr>
    <w:sdt>
      <w:sdtPr>
        <w:id w:val="-356968743"/>
        <w:docPartObj>
          <w:docPartGallery w:val="Page Numbers (Margins)"/>
          <w:docPartUnique/>
        </w:docPartObj>
      </w:sdtPr>
      <w:sdtEndPr/>
      <w:sdtContent>
        <w:r w:rsidR="0081438A">
          <w:rPr>
            <w:noProof/>
          </w:rPr>
          <mc:AlternateContent>
            <mc:Choice Requires="wps">
              <w:drawing>
                <wp:anchor distT="0" distB="0" distL="114300" distR="114300" simplePos="0" relativeHeight="251659264" behindDoc="0" locked="0" layoutInCell="0" allowOverlap="1" wp14:anchorId="3ABBA8E4" wp14:editId="6C48999C">
                  <wp:simplePos x="0" y="0"/>
                  <wp:positionH relativeFrom="rightMargin">
                    <wp:align>center</wp:align>
                  </wp:positionH>
                  <wp:positionV relativeFrom="margin">
                    <wp:align>bottom</wp:align>
                  </wp:positionV>
                  <wp:extent cx="510540" cy="2183130"/>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4B168F" w14:textId="77777777" w:rsidR="0081438A" w:rsidRDefault="0081438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3ABBA8E4" id="Rectangle 1"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" o:allowincell="f" filled="f" stroked="f">
                  <v:textbox style="layout-flow:vertical;mso-layout-flow-alt:bottom-to-top;mso-fit-shape-to-text:t">
                    <w:txbxContent>
                      <w:p w14:paraId="4C4B168F" w14:textId="77777777" w:rsidR="0081438A" w:rsidRDefault="0081438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r w:rsidR="00F835C4">
      <w:t xml:space="preserve">Fourth Circuit </w:t>
    </w:r>
    <w:r w:rsidR="004E5C23">
      <w:ptab w:relativeTo="margin" w:alignment="center" w:leader="none"/>
    </w:r>
    <w:r w:rsidR="00F835C4">
      <w:t>2019</w:t>
    </w:r>
    <w:r w:rsidR="004E5C23">
      <w:ptab w:relativeTo="margin" w:alignment="right" w:leader="none"/>
    </w:r>
    <w:r w:rsidR="00F835C4">
      <w:t>Zuniga Romero v. Barr</w:t>
    </w:r>
  </w:p>
  <w:p w14:paraId="680DAE79" w14:textId="21096667" w:rsidR="004E5C23" w:rsidRDefault="00F835C4" w:rsidP="004E5C23">
    <w:pPr>
      <w:pStyle w:val="Header"/>
      <w:jc w:val="right"/>
    </w:pPr>
    <w:r>
      <w:t>ADMINISTRATIVE CLOSURE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7C63EF"/>
    <w:multiLevelType w:val="hybridMultilevel"/>
    <w:tmpl w:val="70864B2E"/>
    <w:lvl w:ilvl="0" w:tplc="074EA196">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C23"/>
    <w:rsid w:val="00160242"/>
    <w:rsid w:val="001D0515"/>
    <w:rsid w:val="001E5127"/>
    <w:rsid w:val="00224199"/>
    <w:rsid w:val="00327667"/>
    <w:rsid w:val="003A7756"/>
    <w:rsid w:val="003D6FA7"/>
    <w:rsid w:val="00460A1B"/>
    <w:rsid w:val="004E5C23"/>
    <w:rsid w:val="006C5079"/>
    <w:rsid w:val="00727AA7"/>
    <w:rsid w:val="0081438A"/>
    <w:rsid w:val="00895686"/>
    <w:rsid w:val="008D1EFA"/>
    <w:rsid w:val="00943DC6"/>
    <w:rsid w:val="009C2488"/>
    <w:rsid w:val="00AA25A4"/>
    <w:rsid w:val="00B35676"/>
    <w:rsid w:val="00C25B35"/>
    <w:rsid w:val="00D7403F"/>
    <w:rsid w:val="00EB29E5"/>
    <w:rsid w:val="00F83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47A4F2"/>
  <w15:chartTrackingRefBased/>
  <w15:docId w15:val="{A4FC0EAB-205B-48AD-8418-9181AE580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5C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5C23"/>
  </w:style>
  <w:style w:type="paragraph" w:styleId="Footer">
    <w:name w:val="footer"/>
    <w:basedOn w:val="Normal"/>
    <w:link w:val="FooterChar"/>
    <w:uiPriority w:val="99"/>
    <w:unhideWhenUsed/>
    <w:rsid w:val="004E5C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5C23"/>
  </w:style>
  <w:style w:type="paragraph" w:styleId="ListParagraph">
    <w:name w:val="List Paragraph"/>
    <w:basedOn w:val="Normal"/>
    <w:uiPriority w:val="34"/>
    <w:qFormat/>
    <w:rsid w:val="00F835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6C833-F5A4-F748-9F58-5E8DE09D8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1686</Words>
  <Characters>9611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dc:creator>
  <cp:keywords/>
  <dc:description/>
  <cp:lastModifiedBy>Paige Britton</cp:lastModifiedBy>
  <cp:revision>2</cp:revision>
  <dcterms:created xsi:type="dcterms:W3CDTF">2019-11-18T20:48:00Z</dcterms:created>
  <dcterms:modified xsi:type="dcterms:W3CDTF">2019-11-18T20:48:00Z</dcterms:modified>
</cp:coreProperties>
</file>