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BD453" w14:textId="77777777" w:rsidR="00144D3B" w:rsidRPr="00E964C4" w:rsidRDefault="00144D3B" w:rsidP="00C87419">
      <w:pPr>
        <w:spacing w:after="0"/>
        <w:rPr>
          <w:rFonts w:ascii="Times New Roman" w:hAnsi="Times New Roman" w:cs="Times New Roman"/>
        </w:rPr>
      </w:pPr>
    </w:p>
    <w:p w14:paraId="605BD454" w14:textId="22A7DFF6" w:rsidR="00E16E68" w:rsidRPr="00E964C4" w:rsidRDefault="00E964C4"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496F39" w:rsidRPr="00E964C4">
        <w:rPr>
          <w:rFonts w:ascii="Times New Roman" w:hAnsi="Times New Roman" w:cs="Times New Roman"/>
          <w:b/>
          <w:sz w:val="24"/>
          <w:szCs w:val="24"/>
        </w:rPr>
        <w:t>Circuit Court</w:t>
      </w:r>
    </w:p>
    <w:p w14:paraId="605BD455" w14:textId="77777777" w:rsidR="00C87419" w:rsidRPr="00E964C4" w:rsidRDefault="00C87419" w:rsidP="00C87419">
      <w:pPr>
        <w:spacing w:after="0"/>
        <w:jc w:val="center"/>
        <w:rPr>
          <w:rFonts w:ascii="Times New Roman" w:hAnsi="Times New Roman" w:cs="Times New Roman"/>
          <w:b/>
          <w:sz w:val="24"/>
          <w:szCs w:val="24"/>
        </w:rPr>
      </w:pPr>
    </w:p>
    <w:p w14:paraId="605BD456" w14:textId="3FAAEFD3" w:rsidR="00E16E68" w:rsidRPr="000D1888" w:rsidRDefault="00E16E68" w:rsidP="00C87419">
      <w:pPr>
        <w:spacing w:after="0"/>
        <w:rPr>
          <w:rFonts w:ascii="Times New Roman" w:hAnsi="Times New Roman" w:cs="Times New Roman"/>
          <w:bCs/>
          <w:sz w:val="24"/>
          <w:szCs w:val="24"/>
        </w:rPr>
      </w:pPr>
      <w:r w:rsidRPr="00E964C4">
        <w:rPr>
          <w:rFonts w:ascii="Times New Roman" w:hAnsi="Times New Roman" w:cs="Times New Roman"/>
          <w:b/>
          <w:sz w:val="24"/>
          <w:szCs w:val="24"/>
        </w:rPr>
        <w:t>Case:</w:t>
      </w:r>
      <w:r w:rsidR="000D1888">
        <w:rPr>
          <w:rFonts w:ascii="Times New Roman" w:hAnsi="Times New Roman" w:cs="Times New Roman"/>
          <w:bCs/>
          <w:sz w:val="24"/>
          <w:szCs w:val="24"/>
        </w:rPr>
        <w:t xml:space="preserve"> </w:t>
      </w:r>
      <w:r w:rsidR="000D1888">
        <w:rPr>
          <w:rFonts w:ascii="Times New Roman" w:hAnsi="Times New Roman" w:cs="Times New Roman"/>
          <w:bCs/>
          <w:i/>
          <w:iCs/>
          <w:sz w:val="24"/>
          <w:szCs w:val="24"/>
        </w:rPr>
        <w:t>Guadalupe v. Attorney General of the U.S.</w:t>
      </w:r>
      <w:r w:rsidR="000D1888">
        <w:rPr>
          <w:rFonts w:ascii="Times New Roman" w:hAnsi="Times New Roman" w:cs="Times New Roman"/>
          <w:bCs/>
          <w:sz w:val="24"/>
          <w:szCs w:val="24"/>
        </w:rPr>
        <w:t xml:space="preserve">, </w:t>
      </w:r>
      <w:r w:rsidR="002F0A7E">
        <w:rPr>
          <w:rFonts w:ascii="Times New Roman" w:hAnsi="Times New Roman" w:cs="Times New Roman"/>
          <w:bCs/>
          <w:sz w:val="24"/>
          <w:szCs w:val="24"/>
        </w:rPr>
        <w:t>No. 19-2239 (3d Cir. Feb. 2020)</w:t>
      </w:r>
    </w:p>
    <w:p w14:paraId="605BD457" w14:textId="77777777" w:rsidR="00C87419" w:rsidRPr="00E964C4" w:rsidRDefault="00C87419" w:rsidP="00C87419">
      <w:pPr>
        <w:spacing w:after="0"/>
        <w:rPr>
          <w:rFonts w:ascii="Times New Roman" w:hAnsi="Times New Roman" w:cs="Times New Roman"/>
          <w:b/>
          <w:sz w:val="24"/>
          <w:szCs w:val="24"/>
        </w:rPr>
      </w:pPr>
    </w:p>
    <w:p w14:paraId="605BD458" w14:textId="1BEF65A8" w:rsidR="00E16E68" w:rsidRPr="00DA140B" w:rsidRDefault="00E16E68" w:rsidP="00C87419">
      <w:pPr>
        <w:spacing w:after="0"/>
        <w:rPr>
          <w:rFonts w:ascii="Times New Roman" w:hAnsi="Times New Roman" w:cs="Times New Roman"/>
          <w:bCs/>
          <w:sz w:val="24"/>
          <w:szCs w:val="24"/>
        </w:rPr>
      </w:pPr>
      <w:r w:rsidRPr="00E964C4">
        <w:rPr>
          <w:rFonts w:ascii="Times New Roman" w:hAnsi="Times New Roman" w:cs="Times New Roman"/>
          <w:b/>
          <w:sz w:val="24"/>
          <w:szCs w:val="24"/>
        </w:rPr>
        <w:t>Judge</w:t>
      </w:r>
      <w:r w:rsidR="002F0A7E">
        <w:rPr>
          <w:rFonts w:ascii="Times New Roman" w:hAnsi="Times New Roman" w:cs="Times New Roman"/>
          <w:b/>
          <w:sz w:val="24"/>
          <w:szCs w:val="24"/>
        </w:rPr>
        <w:t>s</w:t>
      </w:r>
      <w:r w:rsidRPr="00E964C4">
        <w:rPr>
          <w:rFonts w:ascii="Times New Roman" w:hAnsi="Times New Roman" w:cs="Times New Roman"/>
          <w:b/>
          <w:sz w:val="24"/>
          <w:szCs w:val="24"/>
        </w:rPr>
        <w:t>:</w:t>
      </w:r>
      <w:r w:rsidR="002F0A7E">
        <w:rPr>
          <w:rFonts w:ascii="Times New Roman" w:hAnsi="Times New Roman" w:cs="Times New Roman"/>
          <w:bCs/>
          <w:sz w:val="24"/>
          <w:szCs w:val="24"/>
        </w:rPr>
        <w:t xml:space="preserve"> </w:t>
      </w:r>
      <w:r w:rsidR="00DA140B">
        <w:rPr>
          <w:rFonts w:ascii="Times New Roman" w:hAnsi="Times New Roman" w:cs="Times New Roman"/>
          <w:bCs/>
          <w:sz w:val="24"/>
          <w:szCs w:val="24"/>
        </w:rPr>
        <w:t>Restrepo, Roth, Fisher</w:t>
      </w:r>
      <w:r w:rsidRPr="00E964C4">
        <w:rPr>
          <w:rFonts w:ascii="Times New Roman" w:hAnsi="Times New Roman" w:cs="Times New Roman"/>
          <w:sz w:val="24"/>
          <w:szCs w:val="24"/>
        </w:rPr>
        <w:tab/>
      </w:r>
      <w:r w:rsidRPr="00E964C4">
        <w:rPr>
          <w:rFonts w:ascii="Times New Roman" w:hAnsi="Times New Roman" w:cs="Times New Roman"/>
          <w:b/>
          <w:sz w:val="24"/>
          <w:szCs w:val="24"/>
        </w:rPr>
        <w:tab/>
      </w:r>
      <w:r w:rsidRPr="00E964C4">
        <w:rPr>
          <w:rFonts w:ascii="Times New Roman" w:hAnsi="Times New Roman" w:cs="Times New Roman"/>
          <w:b/>
          <w:sz w:val="24"/>
          <w:szCs w:val="24"/>
        </w:rPr>
        <w:tab/>
      </w:r>
      <w:r w:rsidRPr="00E964C4">
        <w:rPr>
          <w:rFonts w:ascii="Times New Roman" w:hAnsi="Times New Roman" w:cs="Times New Roman"/>
          <w:b/>
          <w:sz w:val="24"/>
          <w:szCs w:val="24"/>
        </w:rPr>
        <w:tab/>
        <w:t>Date:</w:t>
      </w:r>
      <w:r w:rsidR="00DA140B">
        <w:rPr>
          <w:rFonts w:ascii="Times New Roman" w:hAnsi="Times New Roman" w:cs="Times New Roman"/>
          <w:bCs/>
          <w:sz w:val="24"/>
          <w:szCs w:val="24"/>
        </w:rPr>
        <w:t xml:space="preserve"> February 26, 2020</w:t>
      </w:r>
    </w:p>
    <w:p w14:paraId="605BD459" w14:textId="77777777" w:rsidR="00C87419" w:rsidRPr="00E964C4" w:rsidRDefault="00C87419" w:rsidP="00C87419">
      <w:pPr>
        <w:spacing w:after="0"/>
        <w:rPr>
          <w:rFonts w:ascii="Times New Roman" w:hAnsi="Times New Roman" w:cs="Times New Roman"/>
          <w:b/>
          <w:sz w:val="24"/>
          <w:szCs w:val="24"/>
        </w:rPr>
      </w:pPr>
    </w:p>
    <w:p w14:paraId="605BD45A" w14:textId="2492236E" w:rsidR="00E16E68" w:rsidRPr="00F02894" w:rsidRDefault="00E16E68" w:rsidP="00C87419">
      <w:pPr>
        <w:spacing w:after="0"/>
        <w:rPr>
          <w:rFonts w:ascii="Times New Roman" w:hAnsi="Times New Roman" w:cs="Times New Roman"/>
          <w:sz w:val="24"/>
          <w:szCs w:val="24"/>
        </w:rPr>
      </w:pPr>
      <w:r w:rsidRPr="00E964C4">
        <w:rPr>
          <w:rFonts w:ascii="Times New Roman" w:hAnsi="Times New Roman" w:cs="Times New Roman"/>
          <w:b/>
          <w:sz w:val="24"/>
          <w:szCs w:val="24"/>
        </w:rPr>
        <w:t>Tags:</w:t>
      </w:r>
      <w:r w:rsidR="00496F39" w:rsidRPr="00E964C4">
        <w:rPr>
          <w:rFonts w:ascii="Times New Roman" w:hAnsi="Times New Roman" w:cs="Times New Roman"/>
          <w:sz w:val="24"/>
          <w:szCs w:val="24"/>
        </w:rPr>
        <w:t xml:space="preserve"> </w:t>
      </w:r>
      <w:r w:rsidR="00DA140B">
        <w:rPr>
          <w:rFonts w:ascii="Times New Roman" w:hAnsi="Times New Roman" w:cs="Times New Roman"/>
          <w:sz w:val="24"/>
          <w:szCs w:val="24"/>
        </w:rPr>
        <w:t xml:space="preserve">Immigration, </w:t>
      </w:r>
      <w:r w:rsidR="00F02894">
        <w:rPr>
          <w:rFonts w:ascii="Times New Roman" w:hAnsi="Times New Roman" w:cs="Times New Roman"/>
          <w:sz w:val="24"/>
          <w:szCs w:val="24"/>
        </w:rPr>
        <w:t xml:space="preserve">deportation, NTA, hearing notice, </w:t>
      </w:r>
      <w:r w:rsidR="00F02894">
        <w:rPr>
          <w:rFonts w:ascii="Times New Roman" w:hAnsi="Times New Roman" w:cs="Times New Roman"/>
          <w:i/>
          <w:iCs/>
          <w:sz w:val="24"/>
          <w:szCs w:val="24"/>
        </w:rPr>
        <w:t>Pereira</w:t>
      </w:r>
      <w:r w:rsidR="00F02894">
        <w:rPr>
          <w:rFonts w:ascii="Times New Roman" w:hAnsi="Times New Roman" w:cs="Times New Roman"/>
          <w:sz w:val="24"/>
          <w:szCs w:val="24"/>
        </w:rPr>
        <w:t xml:space="preserve">, </w:t>
      </w:r>
      <w:r w:rsidR="00197D5A">
        <w:rPr>
          <w:rFonts w:ascii="Times New Roman" w:hAnsi="Times New Roman" w:cs="Times New Roman"/>
          <w:sz w:val="24"/>
          <w:szCs w:val="24"/>
        </w:rPr>
        <w:t>cancellation of removal, continuous physical residence, stop-time rule</w:t>
      </w:r>
    </w:p>
    <w:p w14:paraId="605BD45B" w14:textId="77777777" w:rsidR="00C87419" w:rsidRPr="00E964C4" w:rsidRDefault="00C87419" w:rsidP="00C87419">
      <w:pPr>
        <w:spacing w:after="0"/>
        <w:rPr>
          <w:rFonts w:ascii="Times New Roman" w:hAnsi="Times New Roman" w:cs="Times New Roman"/>
          <w:b/>
          <w:sz w:val="24"/>
          <w:szCs w:val="24"/>
        </w:rPr>
      </w:pPr>
    </w:p>
    <w:p w14:paraId="1D8CBAA5" w14:textId="5AEA6B71" w:rsidR="00474141" w:rsidRPr="00197D5A" w:rsidRDefault="00496F39" w:rsidP="00496F39">
      <w:pPr>
        <w:spacing w:after="0"/>
        <w:rPr>
          <w:rFonts w:ascii="Times New Roman" w:hAnsi="Times New Roman" w:cs="Times New Roman"/>
          <w:bCs/>
          <w:sz w:val="24"/>
          <w:szCs w:val="24"/>
        </w:rPr>
      </w:pPr>
      <w:r w:rsidRPr="00E964C4">
        <w:rPr>
          <w:rFonts w:ascii="Times New Roman" w:hAnsi="Times New Roman" w:cs="Times New Roman"/>
          <w:b/>
          <w:sz w:val="24"/>
          <w:szCs w:val="24"/>
        </w:rPr>
        <w:t>Gravamen/Question(s) at issue:</w:t>
      </w:r>
      <w:r w:rsidR="001E680D">
        <w:rPr>
          <w:rFonts w:ascii="Times New Roman" w:hAnsi="Times New Roman" w:cs="Times New Roman"/>
          <w:bCs/>
          <w:sz w:val="24"/>
          <w:szCs w:val="24"/>
        </w:rPr>
        <w:t xml:space="preserve"> </w:t>
      </w:r>
      <w:r w:rsidR="00197D5A">
        <w:rPr>
          <w:rFonts w:ascii="Times New Roman" w:hAnsi="Times New Roman" w:cs="Times New Roman"/>
          <w:bCs/>
          <w:sz w:val="24"/>
          <w:szCs w:val="24"/>
        </w:rPr>
        <w:t xml:space="preserve">“In removal proceedings, does </w:t>
      </w:r>
      <w:r w:rsidR="00197D5A">
        <w:rPr>
          <w:rFonts w:ascii="Times New Roman" w:hAnsi="Times New Roman" w:cs="Times New Roman"/>
          <w:bCs/>
          <w:i/>
          <w:iCs/>
          <w:sz w:val="24"/>
          <w:szCs w:val="24"/>
        </w:rPr>
        <w:t>Pereira v. Sessions</w:t>
      </w:r>
      <w:r w:rsidR="00197D5A">
        <w:rPr>
          <w:rFonts w:ascii="Times New Roman" w:hAnsi="Times New Roman" w:cs="Times New Roman"/>
          <w:bCs/>
          <w:sz w:val="24"/>
          <w:szCs w:val="24"/>
        </w:rPr>
        <w:t xml:space="preserve"> prohibit DHS from curing a defective NTA, which has triggered the stop-time rule</w:t>
      </w:r>
      <w:r w:rsidR="0074606C">
        <w:rPr>
          <w:rFonts w:ascii="Times New Roman" w:hAnsi="Times New Roman" w:cs="Times New Roman"/>
          <w:bCs/>
          <w:sz w:val="24"/>
          <w:szCs w:val="24"/>
        </w:rPr>
        <w:t xml:space="preserve"> with a subsequent Notice of Hearing which contains the missing information?</w:t>
      </w:r>
      <w:r w:rsidR="00A439AB">
        <w:rPr>
          <w:rFonts w:ascii="Times New Roman" w:hAnsi="Times New Roman" w:cs="Times New Roman"/>
          <w:bCs/>
          <w:sz w:val="24"/>
          <w:szCs w:val="24"/>
        </w:rPr>
        <w:t xml:space="preserve">” </w:t>
      </w:r>
      <w:r w:rsidR="00A439AB">
        <w:rPr>
          <w:rFonts w:ascii="Times New Roman" w:hAnsi="Times New Roman" w:cs="Times New Roman"/>
          <w:bCs/>
          <w:i/>
          <w:iCs/>
          <w:sz w:val="24"/>
          <w:szCs w:val="24"/>
        </w:rPr>
        <w:t>Guadalupe v. Attorney General of the U.S.</w:t>
      </w:r>
      <w:r w:rsidR="00A439AB">
        <w:rPr>
          <w:rFonts w:ascii="Times New Roman" w:hAnsi="Times New Roman" w:cs="Times New Roman"/>
          <w:bCs/>
          <w:sz w:val="24"/>
          <w:szCs w:val="24"/>
        </w:rPr>
        <w:t>, No. 19-2239</w:t>
      </w:r>
      <w:r w:rsidR="00E62257">
        <w:rPr>
          <w:rFonts w:ascii="Times New Roman" w:hAnsi="Times New Roman" w:cs="Times New Roman"/>
          <w:bCs/>
          <w:sz w:val="24"/>
          <w:szCs w:val="24"/>
        </w:rPr>
        <w:t xml:space="preserve">, </w:t>
      </w:r>
      <w:r w:rsidR="00595468">
        <w:rPr>
          <w:rFonts w:ascii="Times New Roman" w:hAnsi="Times New Roman" w:cs="Times New Roman"/>
          <w:bCs/>
          <w:sz w:val="24"/>
          <w:szCs w:val="24"/>
        </w:rPr>
        <w:t>*</w:t>
      </w:r>
      <w:bookmarkStart w:id="0" w:name="_GoBack"/>
      <w:bookmarkEnd w:id="0"/>
      <w:r w:rsidR="006A12EC">
        <w:rPr>
          <w:rFonts w:ascii="Times New Roman" w:hAnsi="Times New Roman" w:cs="Times New Roman"/>
          <w:bCs/>
          <w:sz w:val="24"/>
          <w:szCs w:val="24"/>
        </w:rPr>
        <w:t>6</w:t>
      </w:r>
      <w:r w:rsidR="00A439AB">
        <w:rPr>
          <w:rFonts w:ascii="Times New Roman" w:hAnsi="Times New Roman" w:cs="Times New Roman"/>
          <w:bCs/>
          <w:sz w:val="24"/>
          <w:szCs w:val="24"/>
        </w:rPr>
        <w:t xml:space="preserve"> (3d Cir. Feb. 2020)</w:t>
      </w:r>
      <w:r w:rsidR="00E62257">
        <w:rPr>
          <w:rFonts w:ascii="Times New Roman" w:hAnsi="Times New Roman" w:cs="Times New Roman"/>
          <w:bCs/>
          <w:sz w:val="24"/>
          <w:szCs w:val="24"/>
        </w:rPr>
        <w:t>.</w:t>
      </w:r>
    </w:p>
    <w:p w14:paraId="605BD45C" w14:textId="0F6129C9" w:rsidR="00496F39" w:rsidRPr="00723E07" w:rsidRDefault="001E680D" w:rsidP="0074606C">
      <w:pPr>
        <w:spacing w:after="0"/>
        <w:ind w:firstLine="720"/>
        <w:rPr>
          <w:rFonts w:ascii="Times New Roman" w:hAnsi="Times New Roman" w:cs="Times New Roman"/>
          <w:bCs/>
          <w:sz w:val="24"/>
          <w:szCs w:val="24"/>
        </w:rPr>
      </w:pPr>
      <w:r>
        <w:rPr>
          <w:rFonts w:ascii="Times New Roman" w:hAnsi="Times New Roman" w:cs="Times New Roman"/>
          <w:bCs/>
          <w:sz w:val="24"/>
          <w:szCs w:val="24"/>
        </w:rPr>
        <w:t xml:space="preserve">Is the 3d Circuit’s holding in </w:t>
      </w:r>
      <w:r w:rsidR="00723E07">
        <w:rPr>
          <w:rFonts w:ascii="Times New Roman" w:hAnsi="Times New Roman" w:cs="Times New Roman"/>
          <w:bCs/>
          <w:i/>
          <w:iCs/>
          <w:sz w:val="24"/>
          <w:szCs w:val="24"/>
        </w:rPr>
        <w:t>Orozco-Velasquez</w:t>
      </w:r>
      <w:r w:rsidR="00723E07">
        <w:rPr>
          <w:rFonts w:ascii="Times New Roman" w:hAnsi="Times New Roman" w:cs="Times New Roman"/>
          <w:bCs/>
          <w:sz w:val="24"/>
          <w:szCs w:val="24"/>
        </w:rPr>
        <w:t xml:space="preserve"> (namely, that a deficient NTA may be cured by a subsequent Hearing Notice) abrogated by </w:t>
      </w:r>
      <w:r w:rsidR="00723E07">
        <w:rPr>
          <w:rFonts w:ascii="Times New Roman" w:hAnsi="Times New Roman" w:cs="Times New Roman"/>
          <w:bCs/>
          <w:i/>
          <w:iCs/>
          <w:sz w:val="24"/>
          <w:szCs w:val="24"/>
        </w:rPr>
        <w:t>Pereira</w:t>
      </w:r>
      <w:r w:rsidR="00723E07">
        <w:rPr>
          <w:rFonts w:ascii="Times New Roman" w:hAnsi="Times New Roman" w:cs="Times New Roman"/>
          <w:bCs/>
          <w:sz w:val="24"/>
          <w:szCs w:val="24"/>
        </w:rPr>
        <w:t>?</w:t>
      </w:r>
    </w:p>
    <w:p w14:paraId="605BD45D" w14:textId="77777777" w:rsidR="00496F39" w:rsidRPr="00E964C4" w:rsidRDefault="00496F39" w:rsidP="00C87419">
      <w:pPr>
        <w:spacing w:after="0"/>
        <w:rPr>
          <w:rFonts w:ascii="Times New Roman" w:hAnsi="Times New Roman" w:cs="Times New Roman"/>
          <w:sz w:val="24"/>
          <w:szCs w:val="24"/>
        </w:rPr>
      </w:pPr>
    </w:p>
    <w:p w14:paraId="4649801B" w14:textId="77777777" w:rsidR="001A2874" w:rsidRDefault="00E16E68" w:rsidP="00C87419">
      <w:pPr>
        <w:spacing w:after="0"/>
        <w:rPr>
          <w:rFonts w:ascii="Times New Roman" w:hAnsi="Times New Roman" w:cs="Times New Roman"/>
          <w:bCs/>
          <w:sz w:val="24"/>
          <w:szCs w:val="24"/>
        </w:rPr>
      </w:pPr>
      <w:r w:rsidRPr="00E964C4">
        <w:rPr>
          <w:rFonts w:ascii="Times New Roman" w:hAnsi="Times New Roman" w:cs="Times New Roman"/>
          <w:b/>
          <w:sz w:val="24"/>
          <w:szCs w:val="24"/>
        </w:rPr>
        <w:t>Holdings:</w:t>
      </w:r>
      <w:r w:rsidR="00723E07">
        <w:rPr>
          <w:rFonts w:ascii="Times New Roman" w:hAnsi="Times New Roman" w:cs="Times New Roman"/>
          <w:bCs/>
          <w:sz w:val="24"/>
          <w:szCs w:val="24"/>
        </w:rPr>
        <w:t xml:space="preserve"> </w:t>
      </w:r>
      <w:r w:rsidR="001A2874">
        <w:rPr>
          <w:rFonts w:ascii="Times New Roman" w:hAnsi="Times New Roman" w:cs="Times New Roman"/>
          <w:bCs/>
          <w:sz w:val="24"/>
          <w:szCs w:val="24"/>
        </w:rPr>
        <w:tab/>
      </w:r>
      <w:r w:rsidR="00723E07">
        <w:rPr>
          <w:rFonts w:ascii="Times New Roman" w:hAnsi="Times New Roman" w:cs="Times New Roman"/>
          <w:bCs/>
          <w:sz w:val="24"/>
          <w:szCs w:val="24"/>
        </w:rPr>
        <w:t xml:space="preserve">Yes, </w:t>
      </w:r>
      <w:r w:rsidR="00723E07">
        <w:rPr>
          <w:rFonts w:ascii="Times New Roman" w:hAnsi="Times New Roman" w:cs="Times New Roman"/>
          <w:bCs/>
          <w:i/>
          <w:iCs/>
          <w:sz w:val="24"/>
          <w:szCs w:val="24"/>
        </w:rPr>
        <w:t>Orozco-Velasquez</w:t>
      </w:r>
      <w:r w:rsidR="00723E07">
        <w:rPr>
          <w:rFonts w:ascii="Times New Roman" w:hAnsi="Times New Roman" w:cs="Times New Roman"/>
          <w:bCs/>
          <w:sz w:val="24"/>
          <w:szCs w:val="24"/>
        </w:rPr>
        <w:t xml:space="preserve"> has been abrogated by </w:t>
      </w:r>
      <w:r w:rsidR="00723E07">
        <w:rPr>
          <w:rFonts w:ascii="Times New Roman" w:hAnsi="Times New Roman" w:cs="Times New Roman"/>
          <w:bCs/>
          <w:i/>
          <w:iCs/>
          <w:sz w:val="24"/>
          <w:szCs w:val="24"/>
        </w:rPr>
        <w:t>Pereira</w:t>
      </w:r>
      <w:r w:rsidR="00723E07">
        <w:rPr>
          <w:rFonts w:ascii="Times New Roman" w:hAnsi="Times New Roman" w:cs="Times New Roman"/>
          <w:bCs/>
          <w:sz w:val="24"/>
          <w:szCs w:val="24"/>
        </w:rPr>
        <w:t xml:space="preserve">. </w:t>
      </w:r>
    </w:p>
    <w:p w14:paraId="662BBB16" w14:textId="77777777" w:rsidR="001A2874" w:rsidRDefault="00723E07" w:rsidP="001A2874">
      <w:pPr>
        <w:spacing w:after="0"/>
        <w:ind w:left="1440"/>
        <w:rPr>
          <w:rFonts w:ascii="Times New Roman" w:hAnsi="Times New Roman" w:cs="Times New Roman"/>
          <w:bCs/>
          <w:sz w:val="24"/>
          <w:szCs w:val="24"/>
        </w:rPr>
      </w:pPr>
      <w:r>
        <w:rPr>
          <w:rFonts w:ascii="Times New Roman" w:hAnsi="Times New Roman" w:cs="Times New Roman"/>
          <w:bCs/>
          <w:sz w:val="24"/>
          <w:szCs w:val="24"/>
        </w:rPr>
        <w:t xml:space="preserve">Therefore, </w:t>
      </w:r>
      <w:r w:rsidR="00432D14">
        <w:rPr>
          <w:rFonts w:ascii="Times New Roman" w:hAnsi="Times New Roman" w:cs="Times New Roman"/>
          <w:bCs/>
          <w:sz w:val="24"/>
          <w:szCs w:val="24"/>
        </w:rPr>
        <w:t xml:space="preserve">an NTA that is missing date, time, and/or place </w:t>
      </w:r>
      <w:r w:rsidR="00433193">
        <w:rPr>
          <w:rFonts w:ascii="Times New Roman" w:hAnsi="Times New Roman" w:cs="Times New Roman"/>
          <w:bCs/>
          <w:sz w:val="24"/>
          <w:szCs w:val="24"/>
        </w:rPr>
        <w:t xml:space="preserve">cannot be </w:t>
      </w:r>
      <w:r w:rsidR="00462987">
        <w:rPr>
          <w:rFonts w:ascii="Times New Roman" w:hAnsi="Times New Roman" w:cs="Times New Roman"/>
          <w:bCs/>
          <w:sz w:val="24"/>
          <w:szCs w:val="24"/>
        </w:rPr>
        <w:t xml:space="preserve">“cured” by a subsequent Hearing Notice with that information. </w:t>
      </w:r>
    </w:p>
    <w:p w14:paraId="605BD45E" w14:textId="0CC46A39" w:rsidR="00E16E68" w:rsidRDefault="004323A7" w:rsidP="001A2874">
      <w:pPr>
        <w:spacing w:after="0"/>
        <w:ind w:left="1440"/>
        <w:rPr>
          <w:rFonts w:ascii="Times New Roman" w:hAnsi="Times New Roman" w:cs="Times New Roman"/>
          <w:bCs/>
          <w:sz w:val="24"/>
          <w:szCs w:val="24"/>
        </w:rPr>
      </w:pPr>
      <w:r>
        <w:rPr>
          <w:rFonts w:ascii="Times New Roman" w:hAnsi="Times New Roman" w:cs="Times New Roman"/>
          <w:bCs/>
          <w:sz w:val="24"/>
          <w:szCs w:val="24"/>
        </w:rPr>
        <w:t xml:space="preserve">Neither the deficient NTA nor the subsequent Hearing Notice </w:t>
      </w:r>
      <w:r w:rsidR="00647573">
        <w:rPr>
          <w:rFonts w:ascii="Times New Roman" w:hAnsi="Times New Roman" w:cs="Times New Roman"/>
          <w:bCs/>
          <w:sz w:val="24"/>
          <w:szCs w:val="24"/>
        </w:rPr>
        <w:t>stop the time on a respondent’s continuous physical presence.</w:t>
      </w:r>
    </w:p>
    <w:p w14:paraId="6FE285A3" w14:textId="36B5258B" w:rsidR="00D75765" w:rsidRPr="00723E07" w:rsidRDefault="00D75765" w:rsidP="00C87419">
      <w:pPr>
        <w:spacing w:after="0"/>
        <w:rPr>
          <w:rFonts w:ascii="Times New Roman" w:hAnsi="Times New Roman" w:cs="Times New Roman"/>
          <w:bCs/>
          <w:sz w:val="24"/>
          <w:szCs w:val="24"/>
        </w:rPr>
      </w:pPr>
      <w:r>
        <w:rPr>
          <w:rFonts w:ascii="Times New Roman" w:hAnsi="Times New Roman" w:cs="Times New Roman"/>
          <w:bCs/>
          <w:sz w:val="24"/>
          <w:szCs w:val="24"/>
        </w:rPr>
        <w:tab/>
      </w:r>
      <w:r w:rsidR="001A2874">
        <w:rPr>
          <w:rFonts w:ascii="Times New Roman" w:hAnsi="Times New Roman" w:cs="Times New Roman"/>
          <w:bCs/>
          <w:sz w:val="24"/>
          <w:szCs w:val="24"/>
        </w:rPr>
        <w:tab/>
      </w:r>
      <w:r>
        <w:rPr>
          <w:rFonts w:ascii="Times New Roman" w:hAnsi="Times New Roman" w:cs="Times New Roman"/>
          <w:bCs/>
          <w:sz w:val="24"/>
          <w:szCs w:val="24"/>
        </w:rPr>
        <w:t>Case vacated and remanded.</w:t>
      </w:r>
    </w:p>
    <w:p w14:paraId="605BD45F" w14:textId="77777777" w:rsidR="00C87419" w:rsidRPr="00E964C4" w:rsidRDefault="00C87419" w:rsidP="00C87419">
      <w:pPr>
        <w:spacing w:after="0"/>
        <w:rPr>
          <w:rFonts w:ascii="Times New Roman" w:hAnsi="Times New Roman" w:cs="Times New Roman"/>
          <w:b/>
          <w:sz w:val="24"/>
          <w:szCs w:val="24"/>
        </w:rPr>
      </w:pPr>
    </w:p>
    <w:p w14:paraId="605BD460" w14:textId="22C5C88A" w:rsidR="00E16E68" w:rsidRPr="00103FF8" w:rsidRDefault="00E16E68" w:rsidP="00C87419">
      <w:pPr>
        <w:spacing w:after="0"/>
        <w:rPr>
          <w:rFonts w:ascii="Times New Roman" w:hAnsi="Times New Roman" w:cs="Times New Roman"/>
          <w:bCs/>
          <w:sz w:val="24"/>
          <w:szCs w:val="24"/>
        </w:rPr>
      </w:pPr>
      <w:r w:rsidRPr="00E964C4">
        <w:rPr>
          <w:rFonts w:ascii="Times New Roman" w:hAnsi="Times New Roman" w:cs="Times New Roman"/>
          <w:b/>
          <w:sz w:val="24"/>
          <w:szCs w:val="24"/>
        </w:rPr>
        <w:t>Rationale:</w:t>
      </w:r>
      <w:r w:rsidR="00D75765">
        <w:rPr>
          <w:rFonts w:ascii="Times New Roman" w:hAnsi="Times New Roman" w:cs="Times New Roman"/>
          <w:bCs/>
          <w:sz w:val="24"/>
          <w:szCs w:val="24"/>
        </w:rPr>
        <w:t xml:space="preserve"> SCOTUS was </w:t>
      </w:r>
      <w:r w:rsidR="00AB7FB0">
        <w:rPr>
          <w:rFonts w:ascii="Times New Roman" w:hAnsi="Times New Roman" w:cs="Times New Roman"/>
          <w:bCs/>
          <w:sz w:val="24"/>
          <w:szCs w:val="24"/>
        </w:rPr>
        <w:t>clear</w:t>
      </w:r>
      <w:r w:rsidR="00C97F8B">
        <w:rPr>
          <w:rFonts w:ascii="Times New Roman" w:hAnsi="Times New Roman" w:cs="Times New Roman"/>
          <w:bCs/>
          <w:sz w:val="24"/>
          <w:szCs w:val="24"/>
        </w:rPr>
        <w:t xml:space="preserve"> in </w:t>
      </w:r>
      <w:r w:rsidR="00C97F8B">
        <w:rPr>
          <w:rFonts w:ascii="Times New Roman" w:hAnsi="Times New Roman" w:cs="Times New Roman"/>
          <w:bCs/>
          <w:i/>
          <w:iCs/>
          <w:sz w:val="24"/>
          <w:szCs w:val="24"/>
        </w:rPr>
        <w:t>Pereira</w:t>
      </w:r>
      <w:r w:rsidR="00AB7FB0">
        <w:rPr>
          <w:rFonts w:ascii="Times New Roman" w:hAnsi="Times New Roman" w:cs="Times New Roman"/>
          <w:bCs/>
          <w:sz w:val="24"/>
          <w:szCs w:val="24"/>
        </w:rPr>
        <w:t xml:space="preserve"> that a deficient NTA is not an NTA. </w:t>
      </w:r>
      <w:r w:rsidR="00103FF8">
        <w:rPr>
          <w:rFonts w:ascii="Times New Roman" w:hAnsi="Times New Roman" w:cs="Times New Roman"/>
          <w:bCs/>
          <w:sz w:val="24"/>
          <w:szCs w:val="24"/>
        </w:rPr>
        <w:t xml:space="preserve">Per the statute, a valid NTA—and </w:t>
      </w:r>
      <w:r w:rsidR="00103FF8">
        <w:rPr>
          <w:rFonts w:ascii="Times New Roman" w:hAnsi="Times New Roman" w:cs="Times New Roman"/>
          <w:bCs/>
          <w:i/>
          <w:iCs/>
          <w:sz w:val="24"/>
          <w:szCs w:val="24"/>
        </w:rPr>
        <w:t>only</w:t>
      </w:r>
      <w:r w:rsidR="00103FF8">
        <w:rPr>
          <w:rFonts w:ascii="Times New Roman" w:hAnsi="Times New Roman" w:cs="Times New Roman"/>
          <w:bCs/>
          <w:sz w:val="24"/>
          <w:szCs w:val="24"/>
        </w:rPr>
        <w:t xml:space="preserve"> a valid NTA—is sufficient to stop the time </w:t>
      </w:r>
      <w:r w:rsidR="00EC2DA3">
        <w:rPr>
          <w:rFonts w:ascii="Times New Roman" w:hAnsi="Times New Roman" w:cs="Times New Roman"/>
          <w:bCs/>
          <w:sz w:val="24"/>
          <w:szCs w:val="24"/>
        </w:rPr>
        <w:t>on a respondent’s continuous physical presence.</w:t>
      </w:r>
    </w:p>
    <w:p w14:paraId="605BD461" w14:textId="77777777" w:rsidR="00C87419" w:rsidRPr="00E964C4" w:rsidRDefault="00C87419" w:rsidP="00C87419">
      <w:pPr>
        <w:spacing w:after="0"/>
        <w:rPr>
          <w:rFonts w:ascii="Times New Roman" w:hAnsi="Times New Roman" w:cs="Times New Roman"/>
          <w:b/>
          <w:sz w:val="24"/>
          <w:szCs w:val="24"/>
        </w:rPr>
      </w:pPr>
    </w:p>
    <w:p w14:paraId="605BD462" w14:textId="303DD71F" w:rsidR="004B2F4F" w:rsidRPr="00364743" w:rsidRDefault="004B2F4F" w:rsidP="004B2F4F">
      <w:pPr>
        <w:spacing w:after="0"/>
        <w:rPr>
          <w:rFonts w:ascii="Times New Roman" w:hAnsi="Times New Roman" w:cs="Times New Roman"/>
          <w:sz w:val="24"/>
          <w:szCs w:val="24"/>
        </w:rPr>
      </w:pPr>
      <w:r w:rsidRPr="00E964C4">
        <w:rPr>
          <w:rFonts w:ascii="Times New Roman" w:hAnsi="Times New Roman" w:cs="Times New Roman"/>
          <w:b/>
          <w:sz w:val="24"/>
          <w:szCs w:val="24"/>
        </w:rPr>
        <w:t>Facts:</w:t>
      </w:r>
      <w:r w:rsidRPr="00E964C4">
        <w:rPr>
          <w:rFonts w:ascii="Times New Roman" w:hAnsi="Times New Roman" w:cs="Times New Roman"/>
          <w:sz w:val="24"/>
          <w:szCs w:val="24"/>
        </w:rPr>
        <w:t xml:space="preserve"> </w:t>
      </w:r>
      <w:r w:rsidR="00AC15C2">
        <w:rPr>
          <w:rFonts w:ascii="Times New Roman" w:hAnsi="Times New Roman" w:cs="Times New Roman"/>
          <w:sz w:val="24"/>
          <w:szCs w:val="24"/>
        </w:rPr>
        <w:t xml:space="preserve">Ecuadorian citizen entered U.S. as EWI </w:t>
      </w:r>
      <w:r w:rsidR="00D64870">
        <w:rPr>
          <w:rFonts w:ascii="Times New Roman" w:hAnsi="Times New Roman" w:cs="Times New Roman"/>
          <w:sz w:val="24"/>
          <w:szCs w:val="24"/>
        </w:rPr>
        <w:t>in 1998. He married a USC in 2003, divorced her in 2006</w:t>
      </w:r>
      <w:r w:rsidR="00D72149">
        <w:rPr>
          <w:rFonts w:ascii="Times New Roman" w:hAnsi="Times New Roman" w:cs="Times New Roman"/>
          <w:sz w:val="24"/>
          <w:szCs w:val="24"/>
        </w:rPr>
        <w:t>. She signed an affidavit saying that he married her for immigration status. H</w:t>
      </w:r>
      <w:r w:rsidR="003071E9">
        <w:rPr>
          <w:rFonts w:ascii="Times New Roman" w:hAnsi="Times New Roman" w:cs="Times New Roman"/>
          <w:sz w:val="24"/>
          <w:szCs w:val="24"/>
        </w:rPr>
        <w:t>is conditional resident status was terminated by USCIS in 2007</w:t>
      </w:r>
      <w:r w:rsidR="001B2E91">
        <w:rPr>
          <w:rFonts w:ascii="Times New Roman" w:hAnsi="Times New Roman" w:cs="Times New Roman"/>
          <w:sz w:val="24"/>
          <w:szCs w:val="24"/>
        </w:rPr>
        <w:t xml:space="preserve"> and he was placed in removal proceedings. He received an NTA with no </w:t>
      </w:r>
      <w:r w:rsidR="009F1BFA">
        <w:rPr>
          <w:rFonts w:ascii="Times New Roman" w:hAnsi="Times New Roman" w:cs="Times New Roman"/>
          <w:sz w:val="24"/>
          <w:szCs w:val="24"/>
        </w:rPr>
        <w:t>date or time. Four days later he received a</w:t>
      </w:r>
      <w:r w:rsidR="002E7B12">
        <w:rPr>
          <w:rFonts w:ascii="Times New Roman" w:hAnsi="Times New Roman" w:cs="Times New Roman"/>
          <w:sz w:val="24"/>
          <w:szCs w:val="24"/>
        </w:rPr>
        <w:t xml:space="preserve"> hearing notice with that information. He attended the hearing with his attorney</w:t>
      </w:r>
      <w:r w:rsidR="008729CE">
        <w:rPr>
          <w:rFonts w:ascii="Times New Roman" w:hAnsi="Times New Roman" w:cs="Times New Roman"/>
          <w:sz w:val="24"/>
          <w:szCs w:val="24"/>
        </w:rPr>
        <w:t>. Respondent was ordered departed, but he stuck around.</w:t>
      </w:r>
      <w:r w:rsidR="00364743">
        <w:rPr>
          <w:rFonts w:ascii="Times New Roman" w:hAnsi="Times New Roman" w:cs="Times New Roman"/>
          <w:sz w:val="24"/>
          <w:szCs w:val="24"/>
        </w:rPr>
        <w:t xml:space="preserve"> In June 2018, </w:t>
      </w:r>
      <w:r w:rsidR="00364743">
        <w:rPr>
          <w:rFonts w:ascii="Times New Roman" w:hAnsi="Times New Roman" w:cs="Times New Roman"/>
          <w:i/>
          <w:iCs/>
          <w:sz w:val="24"/>
          <w:szCs w:val="24"/>
        </w:rPr>
        <w:t>Pereira</w:t>
      </w:r>
      <w:r w:rsidR="00364743">
        <w:rPr>
          <w:rFonts w:ascii="Times New Roman" w:hAnsi="Times New Roman" w:cs="Times New Roman"/>
          <w:sz w:val="24"/>
          <w:szCs w:val="24"/>
        </w:rPr>
        <w:t xml:space="preserve"> was decided</w:t>
      </w:r>
      <w:r w:rsidR="003A532D">
        <w:rPr>
          <w:rFonts w:ascii="Times New Roman" w:hAnsi="Times New Roman" w:cs="Times New Roman"/>
          <w:sz w:val="24"/>
          <w:szCs w:val="24"/>
        </w:rPr>
        <w:t>, and respondent moved to reopen his case because he had now been in the U.S. for over 10 years</w:t>
      </w:r>
      <w:r w:rsidR="00966F99">
        <w:rPr>
          <w:rFonts w:ascii="Times New Roman" w:hAnsi="Times New Roman" w:cs="Times New Roman"/>
          <w:sz w:val="24"/>
          <w:szCs w:val="24"/>
        </w:rPr>
        <w:t xml:space="preserve"> and could apply for cancellation of removal.</w:t>
      </w:r>
    </w:p>
    <w:p w14:paraId="605BD463" w14:textId="77777777" w:rsidR="004B2F4F" w:rsidRPr="00E964C4" w:rsidRDefault="004B2F4F" w:rsidP="00C87419">
      <w:pPr>
        <w:spacing w:after="0"/>
        <w:rPr>
          <w:rFonts w:ascii="Times New Roman" w:hAnsi="Times New Roman" w:cs="Times New Roman"/>
          <w:b/>
          <w:sz w:val="24"/>
          <w:szCs w:val="24"/>
        </w:rPr>
      </w:pPr>
    </w:p>
    <w:p w14:paraId="605BD464" w14:textId="051FE4E8" w:rsidR="004B2F4F" w:rsidRDefault="004B2F4F" w:rsidP="004B2F4F">
      <w:pPr>
        <w:spacing w:after="0"/>
        <w:rPr>
          <w:rFonts w:ascii="Times New Roman" w:hAnsi="Times New Roman" w:cs="Times New Roman"/>
          <w:b/>
          <w:sz w:val="24"/>
          <w:szCs w:val="24"/>
        </w:rPr>
      </w:pPr>
      <w:r w:rsidRPr="00E964C4">
        <w:rPr>
          <w:rFonts w:ascii="Times New Roman" w:hAnsi="Times New Roman" w:cs="Times New Roman"/>
          <w:b/>
          <w:sz w:val="24"/>
          <w:szCs w:val="24"/>
        </w:rPr>
        <w:t>Prior Appeals &amp; Trial Court Input:</w:t>
      </w:r>
    </w:p>
    <w:p w14:paraId="339D4B15" w14:textId="5FED7CD0" w:rsidR="003F1A38" w:rsidRDefault="003F1A38" w:rsidP="003F1A38">
      <w:pPr>
        <w:pStyle w:val="ListParagraph"/>
        <w:numPr>
          <w:ilvl w:val="0"/>
          <w:numId w:val="2"/>
        </w:numPr>
        <w:spacing w:after="0"/>
        <w:rPr>
          <w:rFonts w:ascii="Times New Roman" w:hAnsi="Times New Roman" w:cs="Times New Roman"/>
          <w:sz w:val="24"/>
          <w:szCs w:val="24"/>
        </w:rPr>
      </w:pPr>
      <w:r w:rsidRPr="00A72EDE">
        <w:rPr>
          <w:rFonts w:ascii="Times New Roman" w:hAnsi="Times New Roman" w:cs="Times New Roman"/>
          <w:b/>
          <w:bCs/>
          <w:sz w:val="24"/>
          <w:szCs w:val="24"/>
        </w:rPr>
        <w:t>2007:</w:t>
      </w:r>
      <w:r>
        <w:rPr>
          <w:rFonts w:ascii="Times New Roman" w:hAnsi="Times New Roman" w:cs="Times New Roman"/>
          <w:sz w:val="24"/>
          <w:szCs w:val="24"/>
        </w:rPr>
        <w:t xml:space="preserve"> Placed in removal proceedings, defective NTA, hearing notice, hearing</w:t>
      </w:r>
    </w:p>
    <w:p w14:paraId="34DA1872" w14:textId="2DDB6DD3" w:rsidR="003F1A38" w:rsidRDefault="003F1A38" w:rsidP="003F1A38">
      <w:pPr>
        <w:pStyle w:val="ListParagraph"/>
        <w:numPr>
          <w:ilvl w:val="0"/>
          <w:numId w:val="2"/>
        </w:numPr>
        <w:spacing w:after="0"/>
        <w:rPr>
          <w:rFonts w:ascii="Times New Roman" w:hAnsi="Times New Roman" w:cs="Times New Roman"/>
          <w:sz w:val="24"/>
          <w:szCs w:val="24"/>
        </w:rPr>
      </w:pPr>
      <w:r w:rsidRPr="00A72EDE">
        <w:rPr>
          <w:rFonts w:ascii="Times New Roman" w:hAnsi="Times New Roman" w:cs="Times New Roman"/>
          <w:b/>
          <w:bCs/>
          <w:sz w:val="24"/>
          <w:szCs w:val="24"/>
        </w:rPr>
        <w:t>2008:</w:t>
      </w:r>
      <w:r>
        <w:rPr>
          <w:rFonts w:ascii="Times New Roman" w:hAnsi="Times New Roman" w:cs="Times New Roman"/>
          <w:sz w:val="24"/>
          <w:szCs w:val="24"/>
        </w:rPr>
        <w:t xml:space="preserve"> ICH</w:t>
      </w:r>
      <w:r w:rsidR="00A72EDE">
        <w:rPr>
          <w:rFonts w:ascii="Times New Roman" w:hAnsi="Times New Roman" w:cs="Times New Roman"/>
          <w:sz w:val="24"/>
          <w:szCs w:val="24"/>
        </w:rPr>
        <w:t>, ordered removed</w:t>
      </w:r>
    </w:p>
    <w:p w14:paraId="5610F312" w14:textId="18E8DE59" w:rsidR="00A72EDE" w:rsidRDefault="00A72EDE" w:rsidP="003F1A38">
      <w:pPr>
        <w:pStyle w:val="ListParagraph"/>
        <w:numPr>
          <w:ilvl w:val="0"/>
          <w:numId w:val="2"/>
        </w:numPr>
        <w:spacing w:after="0"/>
        <w:rPr>
          <w:rFonts w:ascii="Times New Roman" w:hAnsi="Times New Roman" w:cs="Times New Roman"/>
          <w:sz w:val="24"/>
          <w:szCs w:val="24"/>
        </w:rPr>
      </w:pPr>
      <w:r w:rsidRPr="00A72EDE">
        <w:rPr>
          <w:rFonts w:ascii="Times New Roman" w:hAnsi="Times New Roman" w:cs="Times New Roman"/>
          <w:b/>
          <w:bCs/>
          <w:sz w:val="24"/>
          <w:szCs w:val="24"/>
        </w:rPr>
        <w:t>2018:</w:t>
      </w:r>
      <w:r>
        <w:rPr>
          <w:rFonts w:ascii="Times New Roman" w:hAnsi="Times New Roman" w:cs="Times New Roman"/>
          <w:sz w:val="24"/>
          <w:szCs w:val="24"/>
        </w:rPr>
        <w:t xml:space="preserve"> Motion to reopen</w:t>
      </w:r>
      <w:r w:rsidR="009D2856">
        <w:rPr>
          <w:rFonts w:ascii="Times New Roman" w:hAnsi="Times New Roman" w:cs="Times New Roman"/>
          <w:sz w:val="24"/>
          <w:szCs w:val="24"/>
        </w:rPr>
        <w:t xml:space="preserve"> denied by BIA</w:t>
      </w:r>
    </w:p>
    <w:p w14:paraId="38A6B0B5" w14:textId="0CF475BE" w:rsidR="009D2856" w:rsidRDefault="009D2856" w:rsidP="003F1A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2019:</w:t>
      </w:r>
      <w:r>
        <w:rPr>
          <w:rFonts w:ascii="Times New Roman" w:hAnsi="Times New Roman" w:cs="Times New Roman"/>
          <w:sz w:val="24"/>
          <w:szCs w:val="24"/>
        </w:rPr>
        <w:t xml:space="preserve"> Appeals to 3d Circuit</w:t>
      </w:r>
    </w:p>
    <w:p w14:paraId="1955AF86" w14:textId="60D93DFD" w:rsidR="00A439AB" w:rsidRDefault="00A439AB" w:rsidP="00A439AB">
      <w:pPr>
        <w:spacing w:after="0"/>
        <w:rPr>
          <w:rFonts w:ascii="Times New Roman" w:hAnsi="Times New Roman" w:cs="Times New Roman"/>
          <w:sz w:val="24"/>
          <w:szCs w:val="24"/>
        </w:rPr>
      </w:pPr>
    </w:p>
    <w:p w14:paraId="092C05B4" w14:textId="78E3885A" w:rsidR="00A439AB" w:rsidRDefault="00A439AB" w:rsidP="00A439AB">
      <w:pPr>
        <w:spacing w:after="0"/>
        <w:rPr>
          <w:rFonts w:ascii="Times New Roman" w:hAnsi="Times New Roman" w:cs="Times New Roman"/>
          <w:sz w:val="24"/>
          <w:szCs w:val="24"/>
        </w:rPr>
      </w:pPr>
    </w:p>
    <w:p w14:paraId="4BF2ED37" w14:textId="77777777" w:rsidR="00A439AB" w:rsidRPr="00A439AB" w:rsidRDefault="00A439AB" w:rsidP="00A439AB">
      <w:pPr>
        <w:spacing w:after="0"/>
        <w:rPr>
          <w:rFonts w:ascii="Times New Roman" w:hAnsi="Times New Roman" w:cs="Times New Roman"/>
          <w:sz w:val="24"/>
          <w:szCs w:val="24"/>
        </w:rPr>
      </w:pPr>
    </w:p>
    <w:p w14:paraId="605BD466" w14:textId="77777777" w:rsidR="004B2F4F" w:rsidRPr="00E964C4" w:rsidRDefault="004B2F4F" w:rsidP="00C87419">
      <w:pPr>
        <w:spacing w:after="0"/>
        <w:rPr>
          <w:rFonts w:ascii="Times New Roman" w:hAnsi="Times New Roman" w:cs="Times New Roman"/>
          <w:b/>
          <w:sz w:val="24"/>
          <w:szCs w:val="24"/>
        </w:rPr>
      </w:pPr>
    </w:p>
    <w:p w14:paraId="605BD467" w14:textId="44942FEE" w:rsidR="00552EC4" w:rsidRDefault="00552EC4" w:rsidP="00C87419">
      <w:pPr>
        <w:spacing w:after="0"/>
        <w:rPr>
          <w:rFonts w:ascii="Times New Roman" w:hAnsi="Times New Roman" w:cs="Times New Roman"/>
          <w:b/>
          <w:sz w:val="24"/>
          <w:szCs w:val="24"/>
        </w:rPr>
      </w:pPr>
      <w:r w:rsidRPr="00E964C4">
        <w:rPr>
          <w:rFonts w:ascii="Times New Roman" w:hAnsi="Times New Roman" w:cs="Times New Roman"/>
          <w:b/>
          <w:sz w:val="24"/>
          <w:szCs w:val="24"/>
        </w:rPr>
        <w:lastRenderedPageBreak/>
        <w:t>Appeals to Statute &amp; Precedent:</w:t>
      </w:r>
    </w:p>
    <w:p w14:paraId="79B432F1" w14:textId="799163BA" w:rsidR="00966F99" w:rsidRPr="00966F99" w:rsidRDefault="00BF425F"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8 U.S.C. § 1229b(b)(1):</w:t>
      </w:r>
      <w:r>
        <w:rPr>
          <w:rFonts w:ascii="Times New Roman" w:hAnsi="Times New Roman" w:cs="Times New Roman"/>
          <w:sz w:val="24"/>
          <w:szCs w:val="24"/>
        </w:rPr>
        <w:t xml:space="preserve"> </w:t>
      </w:r>
      <w:r w:rsidR="00AB334E">
        <w:rPr>
          <w:rFonts w:ascii="Times New Roman" w:hAnsi="Times New Roman" w:cs="Times New Roman"/>
          <w:sz w:val="24"/>
          <w:szCs w:val="24"/>
        </w:rPr>
        <w:t>10 years continuous residence can ask for discretionary cancellation of removal.</w:t>
      </w:r>
    </w:p>
    <w:p w14:paraId="03FF8612" w14:textId="4F729468" w:rsidR="00C27110" w:rsidRDefault="00C27110"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Pereira v. Sessions</w:t>
      </w:r>
      <w:r>
        <w:rPr>
          <w:rFonts w:ascii="Times New Roman" w:hAnsi="Times New Roman" w:cs="Times New Roman"/>
          <w:b/>
          <w:bCs/>
          <w:sz w:val="24"/>
          <w:szCs w:val="24"/>
        </w:rPr>
        <w:t>, 138 S. Ct. 2105 (U.S. 2018):</w:t>
      </w:r>
      <w:r>
        <w:rPr>
          <w:rFonts w:ascii="Times New Roman" w:hAnsi="Times New Roman" w:cs="Times New Roman"/>
          <w:sz w:val="24"/>
          <w:szCs w:val="24"/>
        </w:rPr>
        <w:t xml:space="preserve"> Defective NTA is not an NTA for purposes of stop-time rule </w:t>
      </w:r>
      <w:r w:rsidR="00294874">
        <w:rPr>
          <w:rFonts w:ascii="Times New Roman" w:hAnsi="Times New Roman" w:cs="Times New Roman"/>
          <w:sz w:val="24"/>
          <w:szCs w:val="24"/>
        </w:rPr>
        <w:t xml:space="preserve">for continuous physical </w:t>
      </w:r>
      <w:r w:rsidR="00FE0A05">
        <w:rPr>
          <w:rFonts w:ascii="Times New Roman" w:hAnsi="Times New Roman" w:cs="Times New Roman"/>
          <w:sz w:val="24"/>
          <w:szCs w:val="24"/>
        </w:rPr>
        <w:t>residence</w:t>
      </w:r>
      <w:r w:rsidR="00294874">
        <w:rPr>
          <w:rFonts w:ascii="Times New Roman" w:hAnsi="Times New Roman" w:cs="Times New Roman"/>
          <w:sz w:val="24"/>
          <w:szCs w:val="24"/>
        </w:rPr>
        <w:t xml:space="preserve"> in the U.S.</w:t>
      </w:r>
    </w:p>
    <w:p w14:paraId="0CD6E0FC" w14:textId="1B825341" w:rsidR="00A92F34" w:rsidRDefault="00A92F34"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Orozco-Velasquez v. Attorney General</w:t>
      </w:r>
      <w:r>
        <w:rPr>
          <w:rFonts w:ascii="Times New Roman" w:hAnsi="Times New Roman" w:cs="Times New Roman"/>
          <w:b/>
          <w:bCs/>
          <w:sz w:val="24"/>
          <w:szCs w:val="24"/>
        </w:rPr>
        <w:t xml:space="preserve">, </w:t>
      </w:r>
      <w:r w:rsidR="00DA2FAE">
        <w:rPr>
          <w:rFonts w:ascii="Times New Roman" w:hAnsi="Times New Roman" w:cs="Times New Roman"/>
          <w:b/>
          <w:bCs/>
          <w:sz w:val="24"/>
          <w:szCs w:val="24"/>
        </w:rPr>
        <w:t>817 F.3d 78 (3d Cir. 2016):</w:t>
      </w:r>
      <w:r w:rsidR="00DA2FAE">
        <w:rPr>
          <w:rFonts w:ascii="Times New Roman" w:hAnsi="Times New Roman" w:cs="Times New Roman"/>
          <w:sz w:val="24"/>
          <w:szCs w:val="24"/>
        </w:rPr>
        <w:t xml:space="preserve"> </w:t>
      </w:r>
      <w:r w:rsidR="007E1DC9">
        <w:rPr>
          <w:rFonts w:ascii="Times New Roman" w:hAnsi="Times New Roman" w:cs="Times New Roman"/>
          <w:sz w:val="24"/>
          <w:szCs w:val="24"/>
        </w:rPr>
        <w:t xml:space="preserve">NTA missing </w:t>
      </w:r>
      <w:r w:rsidR="00CF54D5">
        <w:rPr>
          <w:rFonts w:ascii="Times New Roman" w:hAnsi="Times New Roman" w:cs="Times New Roman"/>
          <w:sz w:val="24"/>
          <w:szCs w:val="24"/>
        </w:rPr>
        <w:t xml:space="preserve">date/time/place may be cured by </w:t>
      </w:r>
      <w:r w:rsidR="001E680D">
        <w:rPr>
          <w:rFonts w:ascii="Times New Roman" w:hAnsi="Times New Roman" w:cs="Times New Roman"/>
          <w:sz w:val="24"/>
          <w:szCs w:val="24"/>
        </w:rPr>
        <w:t xml:space="preserve">subsequent Hearing Notice with that information. </w:t>
      </w:r>
      <w:r w:rsidR="001E680D">
        <w:rPr>
          <w:rFonts w:ascii="Times New Roman" w:hAnsi="Times New Roman" w:cs="Times New Roman"/>
          <w:i/>
          <w:iCs/>
          <w:sz w:val="24"/>
          <w:szCs w:val="24"/>
        </w:rPr>
        <w:t>Abrogated by Pereira.</w:t>
      </w:r>
    </w:p>
    <w:p w14:paraId="71C0B801" w14:textId="6643042D" w:rsidR="00506BDF" w:rsidRDefault="00894BF3"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Matter of Bermudez-Cota</w:t>
      </w:r>
      <w:r>
        <w:rPr>
          <w:rFonts w:ascii="Times New Roman" w:hAnsi="Times New Roman" w:cs="Times New Roman"/>
          <w:b/>
          <w:bCs/>
          <w:sz w:val="24"/>
          <w:szCs w:val="24"/>
        </w:rPr>
        <w:t xml:space="preserve">, </w:t>
      </w:r>
      <w:r w:rsidR="00A355E6">
        <w:rPr>
          <w:rFonts w:ascii="Times New Roman" w:hAnsi="Times New Roman" w:cs="Times New Roman"/>
          <w:b/>
          <w:bCs/>
          <w:sz w:val="24"/>
          <w:szCs w:val="24"/>
        </w:rPr>
        <w:t>27 I&amp;N Dec. 441 (BIA 2018):</w:t>
      </w:r>
      <w:r w:rsidR="00A355E6">
        <w:rPr>
          <w:rFonts w:ascii="Times New Roman" w:hAnsi="Times New Roman" w:cs="Times New Roman"/>
          <w:sz w:val="24"/>
          <w:szCs w:val="24"/>
        </w:rPr>
        <w:t xml:space="preserve"> </w:t>
      </w:r>
      <w:r w:rsidR="008635FE">
        <w:rPr>
          <w:rFonts w:ascii="Times New Roman" w:hAnsi="Times New Roman" w:cs="Times New Roman"/>
          <w:sz w:val="24"/>
          <w:szCs w:val="24"/>
        </w:rPr>
        <w:t>NTA can be “cured” by a subsequent hearing notice filling in the missing information.</w:t>
      </w:r>
    </w:p>
    <w:p w14:paraId="340432ED" w14:textId="354D7CD0" w:rsidR="002B5187" w:rsidRDefault="00475E40"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Garcia-Romo v. Barr</w:t>
      </w:r>
      <w:r w:rsidR="005F251D">
        <w:rPr>
          <w:rFonts w:ascii="Times New Roman" w:hAnsi="Times New Roman" w:cs="Times New Roman"/>
          <w:b/>
          <w:bCs/>
          <w:sz w:val="24"/>
          <w:szCs w:val="24"/>
        </w:rPr>
        <w:t>, 940 F.3d 192 (6</w:t>
      </w:r>
      <w:r w:rsidR="005F251D" w:rsidRPr="005F251D">
        <w:rPr>
          <w:rFonts w:ascii="Times New Roman" w:hAnsi="Times New Roman" w:cs="Times New Roman"/>
          <w:b/>
          <w:bCs/>
          <w:sz w:val="24"/>
          <w:szCs w:val="24"/>
          <w:vertAlign w:val="superscript"/>
        </w:rPr>
        <w:t>th</w:t>
      </w:r>
      <w:r w:rsidR="005F251D">
        <w:rPr>
          <w:rFonts w:ascii="Times New Roman" w:hAnsi="Times New Roman" w:cs="Times New Roman"/>
          <w:b/>
          <w:bCs/>
          <w:sz w:val="24"/>
          <w:szCs w:val="24"/>
        </w:rPr>
        <w:t xml:space="preserve"> Cir. 2019):</w:t>
      </w:r>
      <w:r w:rsidR="005F251D">
        <w:rPr>
          <w:rFonts w:ascii="Times New Roman" w:hAnsi="Times New Roman" w:cs="Times New Roman"/>
          <w:sz w:val="24"/>
          <w:szCs w:val="24"/>
        </w:rPr>
        <w:t xml:space="preserve"> </w:t>
      </w:r>
      <w:r w:rsidR="006224C2">
        <w:rPr>
          <w:rFonts w:ascii="Times New Roman" w:hAnsi="Times New Roman" w:cs="Times New Roman"/>
          <w:sz w:val="24"/>
          <w:szCs w:val="24"/>
        </w:rPr>
        <w:t>DHS may cure defective NTA with hearing notice.</w:t>
      </w:r>
    </w:p>
    <w:p w14:paraId="78BA1525" w14:textId="63757201" w:rsidR="006224C2" w:rsidRPr="00C27110" w:rsidRDefault="00FD3E91" w:rsidP="00C271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Matter of Mendoza-Hernandez</w:t>
      </w:r>
      <w:r>
        <w:rPr>
          <w:rFonts w:ascii="Times New Roman" w:hAnsi="Times New Roman" w:cs="Times New Roman"/>
          <w:b/>
          <w:bCs/>
          <w:sz w:val="24"/>
          <w:szCs w:val="24"/>
        </w:rPr>
        <w:t xml:space="preserve">, </w:t>
      </w:r>
      <w:r w:rsidR="00C9081A">
        <w:rPr>
          <w:rFonts w:ascii="Times New Roman" w:hAnsi="Times New Roman" w:cs="Times New Roman"/>
          <w:b/>
          <w:bCs/>
          <w:sz w:val="24"/>
          <w:szCs w:val="24"/>
        </w:rPr>
        <w:t>27 I&amp;N Dec. 520 (BIA 2019):</w:t>
      </w:r>
      <w:r w:rsidR="00C9081A">
        <w:rPr>
          <w:rFonts w:ascii="Times New Roman" w:hAnsi="Times New Roman" w:cs="Times New Roman"/>
          <w:sz w:val="24"/>
          <w:szCs w:val="24"/>
        </w:rPr>
        <w:t xml:space="preserve"> </w:t>
      </w:r>
      <w:r w:rsidR="00F807AC">
        <w:rPr>
          <w:rFonts w:ascii="Times New Roman" w:hAnsi="Times New Roman" w:cs="Times New Roman"/>
          <w:sz w:val="24"/>
          <w:szCs w:val="24"/>
        </w:rPr>
        <w:t>DHS may cure defective NTA with hearing notice.</w:t>
      </w:r>
    </w:p>
    <w:p w14:paraId="605BD468" w14:textId="77777777" w:rsidR="00C87419" w:rsidRPr="00E964C4" w:rsidRDefault="00C87419" w:rsidP="00C87419">
      <w:pPr>
        <w:spacing w:after="0"/>
        <w:rPr>
          <w:rFonts w:ascii="Times New Roman" w:hAnsi="Times New Roman" w:cs="Times New Roman"/>
          <w:b/>
          <w:sz w:val="24"/>
          <w:szCs w:val="24"/>
        </w:rPr>
      </w:pPr>
    </w:p>
    <w:p w14:paraId="605BD469" w14:textId="29C580B5" w:rsidR="00E16E68" w:rsidRPr="00E964C4" w:rsidRDefault="00FC2FCF"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E964C4">
        <w:rPr>
          <w:rFonts w:ascii="Times New Roman" w:hAnsi="Times New Roman" w:cs="Times New Roman"/>
          <w:b/>
          <w:sz w:val="24"/>
          <w:szCs w:val="24"/>
        </w:rPr>
        <w:t>:</w:t>
      </w:r>
    </w:p>
    <w:p w14:paraId="605BD46A" w14:textId="0A61FE4F" w:rsidR="00C87419" w:rsidRPr="00C02B62" w:rsidRDefault="009F25D3" w:rsidP="009F25D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Jurisdiction:</w:t>
      </w:r>
      <w:r>
        <w:rPr>
          <w:rFonts w:ascii="Times New Roman" w:hAnsi="Times New Roman" w:cs="Times New Roman"/>
          <w:bCs/>
          <w:sz w:val="24"/>
          <w:szCs w:val="24"/>
        </w:rPr>
        <w:t xml:space="preserve"> </w:t>
      </w:r>
      <w:r w:rsidR="002E299F">
        <w:rPr>
          <w:rFonts w:ascii="Times New Roman" w:hAnsi="Times New Roman" w:cs="Times New Roman"/>
          <w:bCs/>
          <w:sz w:val="24"/>
          <w:szCs w:val="24"/>
        </w:rPr>
        <w:t xml:space="preserve">Can’t usually review BIA’s exercise of discretion in a cancellation of removal case, but </w:t>
      </w:r>
      <w:r w:rsidR="002223A3">
        <w:rPr>
          <w:rFonts w:ascii="Times New Roman" w:hAnsi="Times New Roman" w:cs="Times New Roman"/>
          <w:bCs/>
          <w:sz w:val="24"/>
          <w:szCs w:val="24"/>
        </w:rPr>
        <w:t>there’s an exception if the BIA based their decision on a false legal premise.</w:t>
      </w:r>
    </w:p>
    <w:p w14:paraId="6C65E274" w14:textId="4C24371A" w:rsidR="00C02B62" w:rsidRPr="00773AD2" w:rsidRDefault="00693720" w:rsidP="009F25D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“The language is clear. </w:t>
      </w:r>
      <w:r>
        <w:rPr>
          <w:rFonts w:ascii="Times New Roman" w:hAnsi="Times New Roman" w:cs="Times New Roman"/>
          <w:bCs/>
          <w:i/>
          <w:iCs/>
          <w:sz w:val="24"/>
          <w:szCs w:val="24"/>
        </w:rPr>
        <w:t>Pereira</w:t>
      </w:r>
      <w:r>
        <w:rPr>
          <w:rFonts w:ascii="Times New Roman" w:hAnsi="Times New Roman" w:cs="Times New Roman"/>
          <w:bCs/>
          <w:sz w:val="24"/>
          <w:szCs w:val="24"/>
        </w:rPr>
        <w:t xml:space="preserve"> holds that an NTA shall contain all the information set out in section 1229(a)(1). An NTA which omits the time and date of the hearing is defective. To file an effective NTA, the government cannot, in maybe four days or maybe four months, file a second—and possibly third—Notice with the missing information.” </w:t>
      </w:r>
      <w:r w:rsidR="00B7099A">
        <w:rPr>
          <w:rFonts w:ascii="Times New Roman" w:hAnsi="Times New Roman" w:cs="Times New Roman"/>
          <w:bCs/>
          <w:i/>
          <w:iCs/>
          <w:sz w:val="24"/>
          <w:szCs w:val="24"/>
        </w:rPr>
        <w:t>Guadalupe v. Attorney General of the U.S.</w:t>
      </w:r>
      <w:r w:rsidR="00B7099A">
        <w:rPr>
          <w:rFonts w:ascii="Times New Roman" w:hAnsi="Times New Roman" w:cs="Times New Roman"/>
          <w:bCs/>
          <w:sz w:val="24"/>
          <w:szCs w:val="24"/>
        </w:rPr>
        <w:t>, No. 19-2239</w:t>
      </w:r>
      <w:r w:rsidR="00B7099A">
        <w:rPr>
          <w:rFonts w:ascii="Times New Roman" w:hAnsi="Times New Roman" w:cs="Times New Roman"/>
          <w:bCs/>
          <w:sz w:val="24"/>
          <w:szCs w:val="24"/>
        </w:rPr>
        <w:t>, *7</w:t>
      </w:r>
      <w:r w:rsidR="00B7099A">
        <w:rPr>
          <w:rFonts w:ascii="Times New Roman" w:hAnsi="Times New Roman" w:cs="Times New Roman"/>
          <w:bCs/>
          <w:sz w:val="24"/>
          <w:szCs w:val="24"/>
        </w:rPr>
        <w:t xml:space="preserve"> (3d Cir. Feb. 2020)</w:t>
      </w:r>
      <w:r w:rsidR="00B7099A">
        <w:rPr>
          <w:rFonts w:ascii="Times New Roman" w:hAnsi="Times New Roman" w:cs="Times New Roman"/>
          <w:bCs/>
          <w:sz w:val="24"/>
          <w:szCs w:val="24"/>
        </w:rPr>
        <w:t>.</w:t>
      </w:r>
    </w:p>
    <w:p w14:paraId="5AD7BD61" w14:textId="53B4B913" w:rsidR="00773AD2" w:rsidRPr="005E4CB0" w:rsidRDefault="00773AD2" w:rsidP="009F25D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“Moreover, it seems to us to be no great imposition on the government to require it to communicate all that information to the noncitizen in one document.” </w:t>
      </w:r>
      <w:r w:rsidR="00B7099A">
        <w:rPr>
          <w:rFonts w:ascii="Times New Roman" w:hAnsi="Times New Roman" w:cs="Times New Roman"/>
          <w:bCs/>
          <w:i/>
          <w:iCs/>
          <w:sz w:val="24"/>
          <w:szCs w:val="24"/>
        </w:rPr>
        <w:t>Guadalupe v. Attorney General of the U.S.</w:t>
      </w:r>
      <w:r w:rsidR="00B7099A">
        <w:rPr>
          <w:rFonts w:ascii="Times New Roman" w:hAnsi="Times New Roman" w:cs="Times New Roman"/>
          <w:bCs/>
          <w:sz w:val="24"/>
          <w:szCs w:val="24"/>
        </w:rPr>
        <w:t>, No. 19-2239</w:t>
      </w:r>
      <w:r w:rsidR="00B7099A">
        <w:rPr>
          <w:rFonts w:ascii="Times New Roman" w:hAnsi="Times New Roman" w:cs="Times New Roman"/>
          <w:bCs/>
          <w:sz w:val="24"/>
          <w:szCs w:val="24"/>
        </w:rPr>
        <w:t>, *8</w:t>
      </w:r>
      <w:r w:rsidR="00B7099A">
        <w:rPr>
          <w:rFonts w:ascii="Times New Roman" w:hAnsi="Times New Roman" w:cs="Times New Roman"/>
          <w:bCs/>
          <w:sz w:val="24"/>
          <w:szCs w:val="24"/>
        </w:rPr>
        <w:t xml:space="preserve"> (3d Cir. Feb. 2020)</w:t>
      </w:r>
      <w:r w:rsidR="00B7099A">
        <w:rPr>
          <w:rFonts w:ascii="Times New Roman" w:hAnsi="Times New Roman" w:cs="Times New Roman"/>
          <w:bCs/>
          <w:sz w:val="24"/>
          <w:szCs w:val="24"/>
        </w:rPr>
        <w:t>.</w:t>
      </w:r>
    </w:p>
    <w:p w14:paraId="0F1EA17C" w14:textId="7EC27FD3" w:rsidR="005E4CB0" w:rsidRPr="007E20A6" w:rsidRDefault="005E4CB0" w:rsidP="009F25D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BIA: </w:t>
      </w:r>
      <w:r>
        <w:rPr>
          <w:rFonts w:ascii="Times New Roman" w:hAnsi="Times New Roman" w:cs="Times New Roman"/>
          <w:bCs/>
          <w:i/>
          <w:iCs/>
          <w:sz w:val="24"/>
          <w:szCs w:val="24"/>
        </w:rPr>
        <w:t xml:space="preserve">Chevron </w:t>
      </w:r>
      <w:r>
        <w:rPr>
          <w:rFonts w:ascii="Times New Roman" w:hAnsi="Times New Roman" w:cs="Times New Roman"/>
          <w:bCs/>
          <w:sz w:val="24"/>
          <w:szCs w:val="24"/>
        </w:rPr>
        <w:t>deference applies</w:t>
      </w:r>
      <w:r w:rsidR="005800AF">
        <w:rPr>
          <w:rFonts w:ascii="Times New Roman" w:hAnsi="Times New Roman" w:cs="Times New Roman"/>
          <w:bCs/>
          <w:sz w:val="24"/>
          <w:szCs w:val="24"/>
        </w:rPr>
        <w:t xml:space="preserve">, bcz </w:t>
      </w:r>
      <w:r w:rsidR="007E20A6">
        <w:rPr>
          <w:rFonts w:ascii="Times New Roman" w:hAnsi="Times New Roman" w:cs="Times New Roman"/>
          <w:bCs/>
          <w:i/>
          <w:iCs/>
          <w:sz w:val="24"/>
          <w:szCs w:val="24"/>
        </w:rPr>
        <w:t>Mendoza-Hernandez</w:t>
      </w:r>
      <w:r w:rsidR="007E20A6">
        <w:rPr>
          <w:rFonts w:ascii="Times New Roman" w:hAnsi="Times New Roman" w:cs="Times New Roman"/>
          <w:bCs/>
          <w:sz w:val="24"/>
          <w:szCs w:val="24"/>
        </w:rPr>
        <w:t>!</w:t>
      </w:r>
    </w:p>
    <w:p w14:paraId="06AECC80" w14:textId="02BA59FA" w:rsidR="007E20A6" w:rsidRPr="008F3B24" w:rsidRDefault="007E20A6" w:rsidP="007E20A6">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3d Cir.: </w:t>
      </w:r>
      <w:r w:rsidR="008F584E">
        <w:rPr>
          <w:rFonts w:ascii="Times New Roman" w:hAnsi="Times New Roman" w:cs="Times New Roman"/>
          <w:bCs/>
          <w:sz w:val="24"/>
          <w:szCs w:val="24"/>
        </w:rPr>
        <w:t xml:space="preserve">“We conclude, however, that </w:t>
      </w:r>
      <w:r w:rsidR="008F584E">
        <w:rPr>
          <w:rFonts w:ascii="Times New Roman" w:hAnsi="Times New Roman" w:cs="Times New Roman"/>
          <w:bCs/>
          <w:i/>
          <w:iCs/>
          <w:sz w:val="24"/>
          <w:szCs w:val="24"/>
        </w:rPr>
        <w:t>Chevron</w:t>
      </w:r>
      <w:r w:rsidR="008F584E">
        <w:rPr>
          <w:rFonts w:ascii="Times New Roman" w:hAnsi="Times New Roman" w:cs="Times New Roman"/>
          <w:bCs/>
          <w:sz w:val="24"/>
          <w:szCs w:val="24"/>
        </w:rPr>
        <w:t xml:space="preserve"> deference is </w:t>
      </w:r>
      <w:r w:rsidR="00771F1A">
        <w:rPr>
          <w:rFonts w:ascii="Times New Roman" w:hAnsi="Times New Roman" w:cs="Times New Roman"/>
          <w:bCs/>
          <w:sz w:val="24"/>
          <w:szCs w:val="24"/>
        </w:rPr>
        <w:t xml:space="preserve">inapplicable here because we are not merely interpreting the stop-time rule. Rather, we are deciding as a matter of law whether the Supreme Court’s decision in </w:t>
      </w:r>
      <w:r w:rsidR="00771F1A">
        <w:rPr>
          <w:rFonts w:ascii="Times New Roman" w:hAnsi="Times New Roman" w:cs="Times New Roman"/>
          <w:bCs/>
          <w:i/>
          <w:iCs/>
          <w:sz w:val="24"/>
          <w:szCs w:val="24"/>
        </w:rPr>
        <w:t>Pereira</w:t>
      </w:r>
      <w:r w:rsidR="00771F1A">
        <w:rPr>
          <w:rFonts w:ascii="Times New Roman" w:hAnsi="Times New Roman" w:cs="Times New Roman"/>
          <w:bCs/>
          <w:sz w:val="24"/>
          <w:szCs w:val="24"/>
        </w:rPr>
        <w:t xml:space="preserve"> forecloses our interpretation of the statute in </w:t>
      </w:r>
      <w:r w:rsidR="00771F1A">
        <w:rPr>
          <w:rFonts w:ascii="Times New Roman" w:hAnsi="Times New Roman" w:cs="Times New Roman"/>
          <w:bCs/>
          <w:i/>
          <w:iCs/>
          <w:sz w:val="24"/>
          <w:szCs w:val="24"/>
        </w:rPr>
        <w:t>Orozco-Velasquez</w:t>
      </w:r>
      <w:r w:rsidR="00771F1A">
        <w:rPr>
          <w:rFonts w:ascii="Times New Roman" w:hAnsi="Times New Roman" w:cs="Times New Roman"/>
          <w:bCs/>
          <w:sz w:val="24"/>
          <w:szCs w:val="24"/>
        </w:rPr>
        <w:t xml:space="preserve">.” </w:t>
      </w:r>
      <w:r w:rsidR="00B7099A">
        <w:rPr>
          <w:rFonts w:ascii="Times New Roman" w:hAnsi="Times New Roman" w:cs="Times New Roman"/>
          <w:bCs/>
          <w:i/>
          <w:iCs/>
          <w:sz w:val="24"/>
          <w:szCs w:val="24"/>
        </w:rPr>
        <w:t>Guadalupe v. Attorney General of the U.S.</w:t>
      </w:r>
      <w:r w:rsidR="00B7099A">
        <w:rPr>
          <w:rFonts w:ascii="Times New Roman" w:hAnsi="Times New Roman" w:cs="Times New Roman"/>
          <w:bCs/>
          <w:sz w:val="24"/>
          <w:szCs w:val="24"/>
        </w:rPr>
        <w:t>, No. 19-2239</w:t>
      </w:r>
      <w:r w:rsidR="00B7099A">
        <w:rPr>
          <w:rFonts w:ascii="Times New Roman" w:hAnsi="Times New Roman" w:cs="Times New Roman"/>
          <w:bCs/>
          <w:sz w:val="24"/>
          <w:szCs w:val="24"/>
        </w:rPr>
        <w:t>, 8-9</w:t>
      </w:r>
      <w:r w:rsidR="00B7099A">
        <w:rPr>
          <w:rFonts w:ascii="Times New Roman" w:hAnsi="Times New Roman" w:cs="Times New Roman"/>
          <w:bCs/>
          <w:sz w:val="24"/>
          <w:szCs w:val="24"/>
        </w:rPr>
        <w:t xml:space="preserve"> (3d Cir. Feb. 2020)</w:t>
      </w:r>
      <w:r w:rsidR="00B7099A">
        <w:rPr>
          <w:rFonts w:ascii="Times New Roman" w:hAnsi="Times New Roman" w:cs="Times New Roman"/>
          <w:bCs/>
          <w:sz w:val="24"/>
          <w:szCs w:val="24"/>
        </w:rPr>
        <w:t>.</w:t>
      </w:r>
    </w:p>
    <w:p w14:paraId="421A7016" w14:textId="5DFD9C1F" w:rsidR="008F3B24" w:rsidRPr="009F25D3" w:rsidRDefault="008F3B24" w:rsidP="008F3B24">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“Nor do we agree with the government that the BIA’s error was harmless. </w:t>
      </w:r>
      <w:r w:rsidR="00457D54">
        <w:rPr>
          <w:rFonts w:ascii="Times New Roman" w:hAnsi="Times New Roman" w:cs="Times New Roman"/>
          <w:bCs/>
          <w:sz w:val="24"/>
          <w:szCs w:val="24"/>
        </w:rPr>
        <w:t xml:space="preserve">. . The government rests its theory </w:t>
      </w:r>
      <w:r w:rsidR="000125AA">
        <w:rPr>
          <w:rFonts w:ascii="Times New Roman" w:hAnsi="Times New Roman" w:cs="Times New Roman"/>
          <w:bCs/>
          <w:sz w:val="24"/>
          <w:szCs w:val="24"/>
        </w:rPr>
        <w:t xml:space="preserve">of harmlessness on the fact that Guadalupe appeared for his hearing. But the correct inquiry is whether the BIA’s legal error affected the outcome of </w:t>
      </w:r>
      <w:r w:rsidR="00BB4BA7">
        <w:rPr>
          <w:rFonts w:ascii="Times New Roman" w:hAnsi="Times New Roman" w:cs="Times New Roman"/>
          <w:bCs/>
          <w:sz w:val="24"/>
          <w:szCs w:val="24"/>
        </w:rPr>
        <w:t>G</w:t>
      </w:r>
      <w:r w:rsidR="000125AA">
        <w:rPr>
          <w:rFonts w:ascii="Times New Roman" w:hAnsi="Times New Roman" w:cs="Times New Roman"/>
          <w:bCs/>
          <w:sz w:val="24"/>
          <w:szCs w:val="24"/>
        </w:rPr>
        <w:t xml:space="preserve">uadalupe’s motion to reopen. It has. The BIA’s misreading of the stop-time rule was its sole reason for rejecting Guadalupe’s motion to reopen. The BIA found Guadalupe ineligible for cancellation of removal based on an incorrect legal premise. The error was not harmless.” </w:t>
      </w:r>
      <w:r w:rsidR="000125AA">
        <w:rPr>
          <w:rFonts w:ascii="Times New Roman" w:hAnsi="Times New Roman" w:cs="Times New Roman"/>
          <w:bCs/>
          <w:i/>
          <w:iCs/>
          <w:sz w:val="24"/>
          <w:szCs w:val="24"/>
        </w:rPr>
        <w:t>Guadalupe v. Attorney General of the U.S.</w:t>
      </w:r>
      <w:r w:rsidR="000125AA">
        <w:rPr>
          <w:rFonts w:ascii="Times New Roman" w:hAnsi="Times New Roman" w:cs="Times New Roman"/>
          <w:bCs/>
          <w:sz w:val="24"/>
          <w:szCs w:val="24"/>
        </w:rPr>
        <w:t>, No. 19-2239</w:t>
      </w:r>
      <w:r w:rsidR="000125AA">
        <w:rPr>
          <w:rFonts w:ascii="Times New Roman" w:hAnsi="Times New Roman" w:cs="Times New Roman"/>
          <w:bCs/>
          <w:sz w:val="24"/>
          <w:szCs w:val="24"/>
        </w:rPr>
        <w:t xml:space="preserve">, </w:t>
      </w:r>
      <w:r w:rsidR="00BB4BA7">
        <w:rPr>
          <w:rFonts w:ascii="Times New Roman" w:hAnsi="Times New Roman" w:cs="Times New Roman"/>
          <w:bCs/>
          <w:sz w:val="24"/>
          <w:szCs w:val="24"/>
        </w:rPr>
        <w:t>*12</w:t>
      </w:r>
      <w:r w:rsidR="000125AA">
        <w:rPr>
          <w:rFonts w:ascii="Times New Roman" w:hAnsi="Times New Roman" w:cs="Times New Roman"/>
          <w:bCs/>
          <w:sz w:val="24"/>
          <w:szCs w:val="24"/>
        </w:rPr>
        <w:t xml:space="preserve"> (3d Cir. Feb. 2020)</w:t>
      </w:r>
      <w:r w:rsidR="000125AA">
        <w:rPr>
          <w:rFonts w:ascii="Times New Roman" w:hAnsi="Times New Roman" w:cs="Times New Roman"/>
          <w:bCs/>
          <w:sz w:val="24"/>
          <w:szCs w:val="24"/>
        </w:rPr>
        <w:t>.</w:t>
      </w:r>
    </w:p>
    <w:p w14:paraId="605BD46B" w14:textId="77777777" w:rsidR="00552EC4" w:rsidRPr="00E964C4" w:rsidRDefault="00552EC4" w:rsidP="00C87419">
      <w:pPr>
        <w:spacing w:after="0"/>
        <w:rPr>
          <w:rFonts w:ascii="Times New Roman" w:hAnsi="Times New Roman" w:cs="Times New Roman"/>
          <w:b/>
          <w:sz w:val="24"/>
          <w:szCs w:val="24"/>
        </w:rPr>
      </w:pPr>
    </w:p>
    <w:p w14:paraId="605BD46D" w14:textId="77777777" w:rsidR="00C87419" w:rsidRPr="00E964C4" w:rsidRDefault="00C87419" w:rsidP="00C87419">
      <w:pPr>
        <w:spacing w:after="0"/>
        <w:rPr>
          <w:rFonts w:ascii="Times New Roman" w:hAnsi="Times New Roman" w:cs="Times New Roman"/>
          <w:b/>
          <w:sz w:val="24"/>
          <w:szCs w:val="24"/>
        </w:rPr>
      </w:pPr>
    </w:p>
    <w:sectPr w:rsidR="00C87419" w:rsidRPr="00E964C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5BD474" w14:textId="77777777" w:rsidR="006943CE" w:rsidRDefault="006943CE" w:rsidP="00E16E68">
      <w:pPr>
        <w:spacing w:after="0" w:line="240" w:lineRule="auto"/>
      </w:pPr>
      <w:r>
        <w:separator/>
      </w:r>
    </w:p>
  </w:endnote>
  <w:endnote w:type="continuationSeparator" w:id="0">
    <w:p w14:paraId="605BD475" w14:textId="77777777" w:rsidR="006943CE" w:rsidRDefault="006943CE"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21002A87" w:usb1="00000000" w:usb2="00000000"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5BD472" w14:textId="77777777" w:rsidR="006943CE" w:rsidRDefault="006943CE" w:rsidP="00E16E68">
      <w:pPr>
        <w:spacing w:after="0" w:line="240" w:lineRule="auto"/>
      </w:pPr>
      <w:r>
        <w:separator/>
      </w:r>
    </w:p>
  </w:footnote>
  <w:footnote w:type="continuationSeparator" w:id="0">
    <w:p w14:paraId="605BD473" w14:textId="77777777" w:rsidR="006943CE" w:rsidRDefault="006943CE"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BD476" w14:textId="27CA3602" w:rsidR="00E16E68" w:rsidRDefault="00E964C4" w:rsidP="00E964C4">
    <w:pPr>
      <w:pStyle w:val="Header"/>
      <w:jc w:val="right"/>
    </w:pPr>
    <w:r>
      <w:t xml:space="preserve">Third </w:t>
    </w:r>
    <w:r w:rsidR="00496F39">
      <w:t>Circuit</w:t>
    </w:r>
    <w:r w:rsidR="0016476D">
      <w:t xml:space="preserve"> Court</w:t>
    </w:r>
    <w:r w:rsidR="00E16E68">
      <w:tab/>
    </w:r>
    <w:r>
      <w:t>February 2020</w:t>
    </w:r>
    <w:r w:rsidR="00E16E68">
      <w:tab/>
    </w:r>
    <w:r>
      <w:t>Guadalupe v. A.G.</w:t>
    </w:r>
  </w:p>
  <w:p w14:paraId="605BD477" w14:textId="23AAACA8" w:rsidR="00552EC4" w:rsidRPr="000650AB" w:rsidRDefault="00552EC4" w:rsidP="00552EC4">
    <w:pPr>
      <w:pStyle w:val="Header"/>
      <w:jc w:val="right"/>
      <w:rPr>
        <w:i/>
        <w:iCs/>
      </w:rPr>
    </w:pPr>
    <w:r>
      <w:tab/>
    </w:r>
    <w:r>
      <w:tab/>
    </w:r>
    <w:r w:rsidR="00E964C4">
      <w:t>DEFECTIVE NTA</w:t>
    </w:r>
    <w:r w:rsidR="000650AB">
      <w:t xml:space="preserve"> POST </w:t>
    </w:r>
    <w:r w:rsidR="000650AB">
      <w:rPr>
        <w:i/>
        <w:iCs/>
      </w:rPr>
      <w:t>PEREIRA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009D6"/>
    <w:multiLevelType w:val="hybridMultilevel"/>
    <w:tmpl w:val="A86CC65C"/>
    <w:lvl w:ilvl="0" w:tplc="EA242AE2">
      <w:start w:val="24"/>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D15DE3"/>
    <w:multiLevelType w:val="hybridMultilevel"/>
    <w:tmpl w:val="35127712"/>
    <w:lvl w:ilvl="0" w:tplc="376222D2">
      <w:start w:val="24"/>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25AA"/>
    <w:rsid w:val="000650AB"/>
    <w:rsid w:val="000D1888"/>
    <w:rsid w:val="00103FF8"/>
    <w:rsid w:val="00144D3B"/>
    <w:rsid w:val="0016476D"/>
    <w:rsid w:val="00197D5A"/>
    <w:rsid w:val="001A2874"/>
    <w:rsid w:val="001B2E91"/>
    <w:rsid w:val="001E363D"/>
    <w:rsid w:val="001E680D"/>
    <w:rsid w:val="002223A3"/>
    <w:rsid w:val="002479B3"/>
    <w:rsid w:val="00294874"/>
    <w:rsid w:val="002B5187"/>
    <w:rsid w:val="002E299F"/>
    <w:rsid w:val="002E7B12"/>
    <w:rsid w:val="002F0A7E"/>
    <w:rsid w:val="003071E9"/>
    <w:rsid w:val="00364743"/>
    <w:rsid w:val="003A532D"/>
    <w:rsid w:val="003E5947"/>
    <w:rsid w:val="003F1A38"/>
    <w:rsid w:val="004323A7"/>
    <w:rsid w:val="00432D14"/>
    <w:rsid w:val="00433193"/>
    <w:rsid w:val="00457D27"/>
    <w:rsid w:val="00457D54"/>
    <w:rsid w:val="00462987"/>
    <w:rsid w:val="00474141"/>
    <w:rsid w:val="00475E40"/>
    <w:rsid w:val="00496F39"/>
    <w:rsid w:val="004B2F4F"/>
    <w:rsid w:val="00506BDF"/>
    <w:rsid w:val="00552EC4"/>
    <w:rsid w:val="005800AF"/>
    <w:rsid w:val="00595468"/>
    <w:rsid w:val="005E4CB0"/>
    <w:rsid w:val="005F251D"/>
    <w:rsid w:val="006224C2"/>
    <w:rsid w:val="00647573"/>
    <w:rsid w:val="00693720"/>
    <w:rsid w:val="006943CE"/>
    <w:rsid w:val="006A12EC"/>
    <w:rsid w:val="00723E07"/>
    <w:rsid w:val="0074606C"/>
    <w:rsid w:val="00771F1A"/>
    <w:rsid w:val="00773AD2"/>
    <w:rsid w:val="007D1AC2"/>
    <w:rsid w:val="007E1DC9"/>
    <w:rsid w:val="007E20A6"/>
    <w:rsid w:val="008635FE"/>
    <w:rsid w:val="008729CE"/>
    <w:rsid w:val="00894BF3"/>
    <w:rsid w:val="008F3B24"/>
    <w:rsid w:val="008F584E"/>
    <w:rsid w:val="00966F99"/>
    <w:rsid w:val="009A3FEE"/>
    <w:rsid w:val="009D2856"/>
    <w:rsid w:val="009F1BFA"/>
    <w:rsid w:val="009F25D3"/>
    <w:rsid w:val="00A355E6"/>
    <w:rsid w:val="00A439AB"/>
    <w:rsid w:val="00A652CE"/>
    <w:rsid w:val="00A72EDE"/>
    <w:rsid w:val="00A92F34"/>
    <w:rsid w:val="00AB334E"/>
    <w:rsid w:val="00AB7FB0"/>
    <w:rsid w:val="00AC15C2"/>
    <w:rsid w:val="00B564E2"/>
    <w:rsid w:val="00B7099A"/>
    <w:rsid w:val="00B778D1"/>
    <w:rsid w:val="00BB4BA7"/>
    <w:rsid w:val="00BF425F"/>
    <w:rsid w:val="00C02B62"/>
    <w:rsid w:val="00C139D1"/>
    <w:rsid w:val="00C143CF"/>
    <w:rsid w:val="00C27110"/>
    <w:rsid w:val="00C87419"/>
    <w:rsid w:val="00C9081A"/>
    <w:rsid w:val="00C97F8B"/>
    <w:rsid w:val="00CF54D5"/>
    <w:rsid w:val="00D12E04"/>
    <w:rsid w:val="00D250C3"/>
    <w:rsid w:val="00D64870"/>
    <w:rsid w:val="00D66735"/>
    <w:rsid w:val="00D72149"/>
    <w:rsid w:val="00D75765"/>
    <w:rsid w:val="00DA140B"/>
    <w:rsid w:val="00DA2FAE"/>
    <w:rsid w:val="00E16E68"/>
    <w:rsid w:val="00E2134E"/>
    <w:rsid w:val="00E62257"/>
    <w:rsid w:val="00E964C4"/>
    <w:rsid w:val="00EC2DA3"/>
    <w:rsid w:val="00F02894"/>
    <w:rsid w:val="00F807AC"/>
    <w:rsid w:val="00FC2FCF"/>
    <w:rsid w:val="00FD3E91"/>
    <w:rsid w:val="00FE0A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BD453"/>
  <w15:docId w15:val="{E98BBE48-D139-42CE-AFCE-7C700A03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C271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731</Words>
  <Characters>4170</Characters>
  <Application>Microsoft Office Word</Application>
  <DocSecurity>0</DocSecurity>
  <Lines>34</Lines>
  <Paragraphs>9</Paragraphs>
  <ScaleCrop>false</ScaleCrop>
  <Company>Hewlett-Packard Company</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84</cp:revision>
  <dcterms:created xsi:type="dcterms:W3CDTF">2020-04-05T21:08:00Z</dcterms:created>
  <dcterms:modified xsi:type="dcterms:W3CDTF">2020-04-05T22:03:00Z</dcterms:modified>
</cp:coreProperties>
</file>