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2FEE1" w14:textId="77777777" w:rsidR="00144D3B" w:rsidRDefault="00144D3B" w:rsidP="00C87419">
      <w:pPr>
        <w:spacing w:after="0"/>
      </w:pPr>
    </w:p>
    <w:p w14:paraId="6E92FEE2" w14:textId="77777777"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14:paraId="6E92FEE3" w14:textId="77777777" w:rsidR="00C87419" w:rsidRDefault="00C87419" w:rsidP="00C87419">
      <w:pPr>
        <w:spacing w:after="0"/>
        <w:jc w:val="center"/>
        <w:rPr>
          <w:b/>
          <w:sz w:val="24"/>
          <w:szCs w:val="24"/>
        </w:rPr>
      </w:pPr>
    </w:p>
    <w:p w14:paraId="6E92FEE4" w14:textId="7ED60AA4" w:rsidR="00757CDB" w:rsidRPr="007D1A6C" w:rsidRDefault="00E16E68" w:rsidP="00C87419">
      <w:pPr>
        <w:spacing w:after="0"/>
        <w:rPr>
          <w:iCs/>
          <w:sz w:val="24"/>
          <w:szCs w:val="24"/>
        </w:rPr>
      </w:pPr>
      <w:r>
        <w:rPr>
          <w:b/>
          <w:sz w:val="24"/>
          <w:szCs w:val="24"/>
        </w:rPr>
        <w:t>Case:</w:t>
      </w:r>
      <w:r w:rsidR="008E5B66">
        <w:rPr>
          <w:b/>
          <w:sz w:val="24"/>
          <w:szCs w:val="24"/>
        </w:rPr>
        <w:tab/>
      </w:r>
      <w:r w:rsidR="00EE27D2">
        <w:rPr>
          <w:i/>
          <w:sz w:val="24"/>
          <w:szCs w:val="24"/>
        </w:rPr>
        <w:t>United States v. Wong Kim Ark</w:t>
      </w:r>
      <w:r w:rsidR="007D1A6C">
        <w:rPr>
          <w:iCs/>
          <w:sz w:val="24"/>
          <w:szCs w:val="24"/>
        </w:rPr>
        <w:t>, 169 US 649 (1898)</w:t>
      </w:r>
    </w:p>
    <w:p w14:paraId="6E92FEE5" w14:textId="77777777" w:rsidR="00E16E68" w:rsidRPr="00757CDB" w:rsidRDefault="008E5B66" w:rsidP="00C87419">
      <w:pPr>
        <w:spacing w:after="0"/>
        <w:rPr>
          <w:sz w:val="24"/>
          <w:szCs w:val="24"/>
        </w:rPr>
      </w:pPr>
      <w:r>
        <w:rPr>
          <w:b/>
          <w:sz w:val="24"/>
          <w:szCs w:val="24"/>
        </w:rPr>
        <w:t>Date:</w:t>
      </w:r>
      <w:r>
        <w:rPr>
          <w:b/>
          <w:sz w:val="24"/>
          <w:szCs w:val="24"/>
        </w:rPr>
        <w:tab/>
      </w:r>
      <w:r w:rsidR="00EE27D2">
        <w:rPr>
          <w:b/>
          <w:sz w:val="24"/>
          <w:szCs w:val="24"/>
        </w:rPr>
        <w:t>1898</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EE27D2">
        <w:rPr>
          <w:sz w:val="24"/>
          <w:szCs w:val="24"/>
        </w:rPr>
        <w:t>6-2</w:t>
      </w:r>
    </w:p>
    <w:p w14:paraId="6E92FEE6" w14:textId="77777777" w:rsidR="00C87419" w:rsidRDefault="00C87419" w:rsidP="00C87419">
      <w:pPr>
        <w:spacing w:after="0"/>
        <w:rPr>
          <w:b/>
          <w:sz w:val="24"/>
          <w:szCs w:val="24"/>
        </w:rPr>
      </w:pPr>
    </w:p>
    <w:p w14:paraId="6E92FEE7" w14:textId="77777777" w:rsidR="00E16E68" w:rsidRPr="00EE27D2" w:rsidRDefault="008E5B66" w:rsidP="00C87419">
      <w:pPr>
        <w:spacing w:after="0"/>
        <w:rPr>
          <w:sz w:val="24"/>
          <w:szCs w:val="24"/>
        </w:rPr>
      </w:pPr>
      <w:r>
        <w:rPr>
          <w:b/>
          <w:sz w:val="24"/>
          <w:szCs w:val="24"/>
        </w:rPr>
        <w:t>Opinion</w:t>
      </w:r>
      <w:r w:rsidR="00E16E68">
        <w:rPr>
          <w:b/>
          <w:sz w:val="24"/>
          <w:szCs w:val="24"/>
        </w:rPr>
        <w:t>:</w:t>
      </w:r>
      <w:r w:rsidR="00EE27D2">
        <w:rPr>
          <w:sz w:val="24"/>
          <w:szCs w:val="24"/>
        </w:rPr>
        <w:t xml:space="preserve"> Gray</w:t>
      </w:r>
      <w:r w:rsidR="00757CDB">
        <w:rPr>
          <w:b/>
          <w:sz w:val="24"/>
          <w:szCs w:val="24"/>
        </w:rPr>
        <w:tab/>
      </w:r>
      <w:r w:rsidR="00757CDB">
        <w:rPr>
          <w:b/>
          <w:sz w:val="24"/>
          <w:szCs w:val="24"/>
        </w:rPr>
        <w:tab/>
      </w:r>
      <w:r w:rsidR="00757CDB">
        <w:rPr>
          <w:b/>
          <w:sz w:val="24"/>
          <w:szCs w:val="24"/>
        </w:rPr>
        <w:tab/>
      </w:r>
      <w:r>
        <w:rPr>
          <w:b/>
          <w:sz w:val="24"/>
          <w:szCs w:val="24"/>
        </w:rPr>
        <w:t>Dissen</w:t>
      </w:r>
      <w:r w:rsidR="00757CDB">
        <w:rPr>
          <w:b/>
          <w:sz w:val="24"/>
          <w:szCs w:val="24"/>
        </w:rPr>
        <w:t xml:space="preserve">ts: </w:t>
      </w:r>
      <w:r w:rsidR="00EE27D2">
        <w:rPr>
          <w:sz w:val="24"/>
          <w:szCs w:val="24"/>
        </w:rPr>
        <w:t>Fuller</w:t>
      </w:r>
    </w:p>
    <w:p w14:paraId="6E92FEE8" w14:textId="77777777" w:rsidR="00C87419" w:rsidRDefault="00C87419" w:rsidP="00C87419">
      <w:pPr>
        <w:spacing w:after="0"/>
        <w:rPr>
          <w:b/>
          <w:sz w:val="24"/>
          <w:szCs w:val="24"/>
        </w:rPr>
      </w:pPr>
    </w:p>
    <w:p w14:paraId="6E92FEE9" w14:textId="77777777" w:rsidR="00E16E68" w:rsidRPr="00757CDB" w:rsidRDefault="00E16E68" w:rsidP="00C87419">
      <w:pPr>
        <w:spacing w:after="0"/>
        <w:rPr>
          <w:sz w:val="24"/>
          <w:szCs w:val="24"/>
        </w:rPr>
      </w:pPr>
      <w:r>
        <w:rPr>
          <w:b/>
          <w:sz w:val="24"/>
          <w:szCs w:val="24"/>
        </w:rPr>
        <w:t>Tags:</w:t>
      </w:r>
      <w:r w:rsidR="00757CDB">
        <w:rPr>
          <w:sz w:val="24"/>
          <w:szCs w:val="24"/>
        </w:rPr>
        <w:t xml:space="preserve"> </w:t>
      </w:r>
      <w:r w:rsidR="00EE27D2">
        <w:rPr>
          <w:sz w:val="24"/>
          <w:szCs w:val="24"/>
        </w:rPr>
        <w:t>Birthright citizenship, immigrants, Fourteenth Amendment</w:t>
      </w:r>
      <w:r w:rsidR="00430D06">
        <w:rPr>
          <w:sz w:val="24"/>
          <w:szCs w:val="24"/>
        </w:rPr>
        <w:t>, Chinese Exclusion Act</w:t>
      </w:r>
    </w:p>
    <w:p w14:paraId="6E92FEEA" w14:textId="77777777" w:rsidR="00C87419" w:rsidRDefault="00C87419" w:rsidP="00C87419">
      <w:pPr>
        <w:spacing w:after="0"/>
        <w:rPr>
          <w:b/>
          <w:sz w:val="24"/>
          <w:szCs w:val="24"/>
        </w:rPr>
      </w:pPr>
    </w:p>
    <w:p w14:paraId="6E92FEEB" w14:textId="77777777"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430D06">
        <w:rPr>
          <w:sz w:val="24"/>
          <w:szCs w:val="24"/>
        </w:rPr>
        <w:t>Is a child born in the United States to parents who are not U.S. citizens a citizen of the United States?</w:t>
      </w:r>
    </w:p>
    <w:p w14:paraId="6E92FEEC" w14:textId="77777777" w:rsidR="00C87419" w:rsidRDefault="00C87419" w:rsidP="00C87419">
      <w:pPr>
        <w:spacing w:after="0"/>
        <w:rPr>
          <w:b/>
          <w:sz w:val="24"/>
          <w:szCs w:val="24"/>
        </w:rPr>
      </w:pPr>
    </w:p>
    <w:p w14:paraId="6E92FEED" w14:textId="77777777" w:rsidR="00E16E68" w:rsidRDefault="00E16E68" w:rsidP="00C87419">
      <w:pPr>
        <w:spacing w:after="0"/>
        <w:rPr>
          <w:sz w:val="24"/>
          <w:szCs w:val="24"/>
        </w:rPr>
      </w:pPr>
      <w:r>
        <w:rPr>
          <w:b/>
          <w:sz w:val="24"/>
          <w:szCs w:val="24"/>
        </w:rPr>
        <w:t>Holdings:</w:t>
      </w:r>
      <w:r w:rsidR="00CC7EEE">
        <w:rPr>
          <w:sz w:val="24"/>
          <w:szCs w:val="24"/>
        </w:rPr>
        <w:t xml:space="preserve"> </w:t>
      </w:r>
      <w:r w:rsidR="00DD768B">
        <w:rPr>
          <w:sz w:val="24"/>
          <w:szCs w:val="24"/>
        </w:rPr>
        <w:t>Yes.</w:t>
      </w:r>
    </w:p>
    <w:p w14:paraId="6E92FEEE" w14:textId="77777777" w:rsidR="00A65C5C" w:rsidRDefault="00A65C5C" w:rsidP="00C87419">
      <w:pPr>
        <w:spacing w:after="0"/>
        <w:rPr>
          <w:sz w:val="24"/>
          <w:szCs w:val="24"/>
        </w:rPr>
      </w:pPr>
    </w:p>
    <w:p w14:paraId="6E92FEEF" w14:textId="77777777" w:rsidR="00A65C5C" w:rsidRPr="00DD768B" w:rsidRDefault="00A65C5C" w:rsidP="00C87419">
      <w:pPr>
        <w:spacing w:after="0"/>
        <w:rPr>
          <w:sz w:val="24"/>
          <w:szCs w:val="24"/>
        </w:rPr>
      </w:pPr>
      <w:r>
        <w:rPr>
          <w:b/>
          <w:sz w:val="24"/>
          <w:szCs w:val="24"/>
        </w:rPr>
        <w:t>Rationale:</w:t>
      </w:r>
      <w:r w:rsidR="00DD768B">
        <w:rPr>
          <w:sz w:val="24"/>
          <w:szCs w:val="24"/>
        </w:rPr>
        <w:t xml:space="preserve"> Fourteenth Amendment (along with centuries of English common law) says it’s so. Chinese Exclusion Act can’t change that.</w:t>
      </w:r>
    </w:p>
    <w:p w14:paraId="6E92FEF0" w14:textId="77777777" w:rsidR="00C87419" w:rsidRDefault="00C87419" w:rsidP="00C87419">
      <w:pPr>
        <w:spacing w:after="0"/>
        <w:rPr>
          <w:b/>
          <w:sz w:val="24"/>
          <w:szCs w:val="24"/>
        </w:rPr>
      </w:pPr>
    </w:p>
    <w:p w14:paraId="6E92FEF1" w14:textId="77777777" w:rsidR="008E5B66" w:rsidRPr="00430D06" w:rsidRDefault="008E5B66" w:rsidP="008E5B66">
      <w:pPr>
        <w:spacing w:after="0"/>
        <w:rPr>
          <w:sz w:val="24"/>
          <w:szCs w:val="24"/>
        </w:rPr>
      </w:pPr>
      <w:r>
        <w:rPr>
          <w:b/>
          <w:sz w:val="24"/>
          <w:szCs w:val="24"/>
        </w:rPr>
        <w:t>Facts:</w:t>
      </w:r>
      <w:r w:rsidR="00430D06">
        <w:rPr>
          <w:sz w:val="24"/>
          <w:szCs w:val="24"/>
        </w:rPr>
        <w:t xml:space="preserve"> Wong Kim Ark was born in 1873 in San Francisco to Chinese citizens who had settled in CA. When at age 21 he returned to the US from a brief visit to China, he was not allowed to reenter because of the Chinese Exclusion Act.</w:t>
      </w:r>
    </w:p>
    <w:p w14:paraId="6E92FEF2" w14:textId="77777777" w:rsidR="008E5B66" w:rsidRDefault="008E5B66" w:rsidP="00C87419">
      <w:pPr>
        <w:spacing w:after="0"/>
        <w:rPr>
          <w:b/>
          <w:sz w:val="24"/>
          <w:szCs w:val="24"/>
        </w:rPr>
      </w:pPr>
    </w:p>
    <w:p w14:paraId="6E92FEF3" w14:textId="77777777" w:rsidR="009917BC" w:rsidRDefault="00757CDB" w:rsidP="00C87419">
      <w:pPr>
        <w:spacing w:after="0"/>
        <w:rPr>
          <w:b/>
          <w:sz w:val="24"/>
          <w:szCs w:val="24"/>
        </w:rPr>
      </w:pPr>
      <w:r>
        <w:rPr>
          <w:b/>
          <w:sz w:val="24"/>
          <w:szCs w:val="24"/>
        </w:rPr>
        <w:t xml:space="preserve">Legal </w:t>
      </w:r>
      <w:r w:rsidR="009917BC">
        <w:rPr>
          <w:b/>
          <w:sz w:val="24"/>
          <w:szCs w:val="24"/>
        </w:rPr>
        <w:t>History, Prior Appeals &amp; Trial Court Input:</w:t>
      </w:r>
    </w:p>
    <w:p w14:paraId="6E92FEF4" w14:textId="77777777" w:rsidR="00B728FD" w:rsidRDefault="00B728FD" w:rsidP="00B728FD">
      <w:pPr>
        <w:pStyle w:val="ListParagraph"/>
        <w:numPr>
          <w:ilvl w:val="0"/>
          <w:numId w:val="2"/>
        </w:numPr>
        <w:spacing w:after="0"/>
        <w:rPr>
          <w:sz w:val="24"/>
          <w:szCs w:val="24"/>
        </w:rPr>
      </w:pPr>
      <w:r>
        <w:rPr>
          <w:sz w:val="24"/>
          <w:szCs w:val="24"/>
        </w:rPr>
        <w:t xml:space="preserve">From Oyez: “To reach this conclusion, Justice Gray’s tedious majority opinion managed to traverse much of western civilization.” [“United States v. Wong Kim Ark.” </w:t>
      </w:r>
      <w:r>
        <w:rPr>
          <w:i/>
          <w:sz w:val="24"/>
          <w:szCs w:val="24"/>
        </w:rPr>
        <w:t>Oyez</w:t>
      </w:r>
      <w:r>
        <w:rPr>
          <w:sz w:val="24"/>
          <w:szCs w:val="24"/>
        </w:rPr>
        <w:t xml:space="preserve">, 6 Nov. 2018, </w:t>
      </w:r>
      <w:hyperlink r:id="rId7" w:history="1">
        <w:r w:rsidRPr="0081347F">
          <w:rPr>
            <w:rStyle w:val="Hyperlink"/>
            <w:sz w:val="24"/>
            <w:szCs w:val="24"/>
          </w:rPr>
          <w:t>www.oyez.org/cases/1850-1900/169us649</w:t>
        </w:r>
      </w:hyperlink>
      <w:r>
        <w:rPr>
          <w:sz w:val="24"/>
          <w:szCs w:val="24"/>
        </w:rPr>
        <w:t>.]</w:t>
      </w:r>
    </w:p>
    <w:p w14:paraId="6E92FEF5" w14:textId="77777777" w:rsidR="00B728FD" w:rsidRPr="00B728FD" w:rsidRDefault="00B728FD" w:rsidP="00B728FD">
      <w:pPr>
        <w:pStyle w:val="ListParagraph"/>
        <w:numPr>
          <w:ilvl w:val="0"/>
          <w:numId w:val="2"/>
        </w:numPr>
        <w:spacing w:after="0"/>
        <w:rPr>
          <w:sz w:val="24"/>
          <w:szCs w:val="24"/>
        </w:rPr>
      </w:pPr>
      <w:r>
        <w:rPr>
          <w:sz w:val="24"/>
          <w:szCs w:val="24"/>
        </w:rPr>
        <w:t>English common law WRT nationality: “birth within the allegiance…of the King.” (655) (children of invading armies/diplomats didn’t count for this.)</w:t>
      </w:r>
    </w:p>
    <w:p w14:paraId="6E92FEF6" w14:textId="77777777" w:rsidR="009917BC" w:rsidRDefault="009917BC" w:rsidP="008E5B66">
      <w:pPr>
        <w:spacing w:after="0"/>
        <w:rPr>
          <w:b/>
          <w:sz w:val="24"/>
          <w:szCs w:val="24"/>
        </w:rPr>
      </w:pPr>
    </w:p>
    <w:p w14:paraId="6E92FEF7" w14:textId="77777777" w:rsidR="00552EC4" w:rsidRDefault="00552EC4" w:rsidP="00C87419">
      <w:pPr>
        <w:spacing w:after="0"/>
        <w:rPr>
          <w:sz w:val="24"/>
          <w:szCs w:val="24"/>
        </w:rPr>
      </w:pPr>
      <w:r>
        <w:rPr>
          <w:b/>
          <w:sz w:val="24"/>
          <w:szCs w:val="24"/>
        </w:rPr>
        <w:t>Appeals to Statute &amp; Precedent:</w:t>
      </w:r>
    </w:p>
    <w:p w14:paraId="6E92FEF8" w14:textId="77777777" w:rsidR="002A0FE4" w:rsidRDefault="002A0FE4" w:rsidP="002A0FE4">
      <w:pPr>
        <w:pStyle w:val="ListParagraph"/>
        <w:numPr>
          <w:ilvl w:val="0"/>
          <w:numId w:val="2"/>
        </w:numPr>
        <w:spacing w:after="0"/>
        <w:rPr>
          <w:sz w:val="24"/>
          <w:szCs w:val="24"/>
        </w:rPr>
      </w:pPr>
      <w:r>
        <w:rPr>
          <w:sz w:val="24"/>
          <w:szCs w:val="24"/>
        </w:rPr>
        <w:t>No kidding, he goes back to Rome and progresses from there.</w:t>
      </w:r>
    </w:p>
    <w:p w14:paraId="6E92FEF9" w14:textId="77777777" w:rsidR="002A0FE4" w:rsidRDefault="002A0FE4" w:rsidP="002A0FE4">
      <w:pPr>
        <w:pStyle w:val="ListParagraph"/>
        <w:numPr>
          <w:ilvl w:val="0"/>
          <w:numId w:val="2"/>
        </w:numPr>
        <w:spacing w:after="0"/>
        <w:rPr>
          <w:sz w:val="24"/>
          <w:szCs w:val="24"/>
        </w:rPr>
      </w:pPr>
      <w:r>
        <w:rPr>
          <w:b/>
          <w:sz w:val="24"/>
          <w:szCs w:val="24"/>
        </w:rPr>
        <w:t>Civil Rights Act (1866):</w:t>
      </w:r>
      <w:r>
        <w:rPr>
          <w:sz w:val="24"/>
          <w:szCs w:val="24"/>
        </w:rPr>
        <w:t xml:space="preserve"> “all persons born in the United states…are hereby declared to be citizens of the United States…”</w:t>
      </w:r>
    </w:p>
    <w:p w14:paraId="6E92FEFA" w14:textId="77777777" w:rsidR="0068581F" w:rsidRDefault="0068581F" w:rsidP="002A0FE4">
      <w:pPr>
        <w:pStyle w:val="ListParagraph"/>
        <w:numPr>
          <w:ilvl w:val="0"/>
          <w:numId w:val="2"/>
        </w:numPr>
        <w:spacing w:after="0"/>
        <w:rPr>
          <w:sz w:val="24"/>
          <w:szCs w:val="24"/>
        </w:rPr>
      </w:pPr>
      <w:r>
        <w:rPr>
          <w:b/>
          <w:i/>
          <w:sz w:val="24"/>
          <w:szCs w:val="24"/>
        </w:rPr>
        <w:t xml:space="preserve">Dred Scott v. Sandford </w:t>
      </w:r>
      <w:r>
        <w:rPr>
          <w:b/>
          <w:sz w:val="24"/>
          <w:szCs w:val="24"/>
        </w:rPr>
        <w:t>[19 How. 393 (1857)]:</w:t>
      </w:r>
      <w:r>
        <w:rPr>
          <w:sz w:val="24"/>
          <w:szCs w:val="24"/>
        </w:rPr>
        <w:t xml:space="preserve"> citizenship of enslaved people</w:t>
      </w:r>
    </w:p>
    <w:p w14:paraId="6E92FEFB" w14:textId="77777777" w:rsidR="0068581F" w:rsidRDefault="0068581F" w:rsidP="002A0FE4">
      <w:pPr>
        <w:pStyle w:val="ListParagraph"/>
        <w:numPr>
          <w:ilvl w:val="0"/>
          <w:numId w:val="2"/>
        </w:numPr>
        <w:spacing w:after="0"/>
        <w:rPr>
          <w:sz w:val="24"/>
          <w:szCs w:val="24"/>
        </w:rPr>
      </w:pPr>
      <w:r>
        <w:rPr>
          <w:b/>
          <w:i/>
          <w:sz w:val="24"/>
          <w:szCs w:val="24"/>
        </w:rPr>
        <w:t xml:space="preserve">Elk v. Wilkins </w:t>
      </w:r>
      <w:r>
        <w:rPr>
          <w:b/>
          <w:sz w:val="24"/>
          <w:szCs w:val="24"/>
        </w:rPr>
        <w:t>[112 U.S. 94 (1884)]:</w:t>
      </w:r>
      <w:r>
        <w:rPr>
          <w:sz w:val="24"/>
          <w:szCs w:val="24"/>
        </w:rPr>
        <w:t xml:space="preserve"> How does citizenship work for American Indians?</w:t>
      </w:r>
    </w:p>
    <w:p w14:paraId="6E92FEFC" w14:textId="77777777" w:rsidR="00707AC1" w:rsidRDefault="00707AC1" w:rsidP="002A0FE4">
      <w:pPr>
        <w:pStyle w:val="ListParagraph"/>
        <w:numPr>
          <w:ilvl w:val="0"/>
          <w:numId w:val="2"/>
        </w:numPr>
        <w:spacing w:after="0"/>
        <w:rPr>
          <w:sz w:val="24"/>
          <w:szCs w:val="24"/>
        </w:rPr>
      </w:pPr>
      <w:r>
        <w:rPr>
          <w:b/>
          <w:i/>
          <w:sz w:val="24"/>
          <w:szCs w:val="24"/>
        </w:rPr>
        <w:t xml:space="preserve">Yick Wo v. Hopkins </w:t>
      </w:r>
      <w:r>
        <w:rPr>
          <w:b/>
          <w:sz w:val="24"/>
          <w:szCs w:val="24"/>
        </w:rPr>
        <w:t>[118 U.S. 356 (1886)]:</w:t>
      </w:r>
      <w:r>
        <w:rPr>
          <w:sz w:val="24"/>
          <w:szCs w:val="24"/>
        </w:rPr>
        <w:t xml:space="preserve"> Due process for everyone.</w:t>
      </w:r>
    </w:p>
    <w:p w14:paraId="6E92FEFD" w14:textId="77777777" w:rsidR="00707AC1" w:rsidRDefault="00707AC1" w:rsidP="002A0FE4">
      <w:pPr>
        <w:pStyle w:val="ListParagraph"/>
        <w:numPr>
          <w:ilvl w:val="0"/>
          <w:numId w:val="2"/>
        </w:numPr>
        <w:spacing w:after="0"/>
        <w:rPr>
          <w:sz w:val="24"/>
          <w:szCs w:val="24"/>
        </w:rPr>
      </w:pPr>
      <w:r>
        <w:rPr>
          <w:b/>
          <w:i/>
          <w:sz w:val="24"/>
          <w:szCs w:val="24"/>
        </w:rPr>
        <w:t xml:space="preserve">Quock Ting v. United States </w:t>
      </w:r>
      <w:r>
        <w:rPr>
          <w:b/>
          <w:sz w:val="24"/>
          <w:szCs w:val="24"/>
        </w:rPr>
        <w:t>]140 U.S. 417 (1891)]:</w:t>
      </w:r>
      <w:r>
        <w:rPr>
          <w:sz w:val="24"/>
          <w:szCs w:val="24"/>
        </w:rPr>
        <w:t xml:space="preserve"> If born in US, then citizen of US.</w:t>
      </w:r>
    </w:p>
    <w:p w14:paraId="6E92FEFE" w14:textId="77777777" w:rsidR="00DD768B" w:rsidRPr="002A0FE4" w:rsidRDefault="00DD768B" w:rsidP="002A0FE4">
      <w:pPr>
        <w:pStyle w:val="ListParagraph"/>
        <w:numPr>
          <w:ilvl w:val="0"/>
          <w:numId w:val="2"/>
        </w:numPr>
        <w:spacing w:after="0"/>
        <w:rPr>
          <w:sz w:val="24"/>
          <w:szCs w:val="24"/>
        </w:rPr>
      </w:pPr>
      <w:r>
        <w:rPr>
          <w:b/>
          <w:i/>
          <w:sz w:val="24"/>
          <w:szCs w:val="24"/>
        </w:rPr>
        <w:t xml:space="preserve">Fong Yue Ting v. US </w:t>
      </w:r>
      <w:r>
        <w:rPr>
          <w:b/>
          <w:sz w:val="24"/>
          <w:szCs w:val="24"/>
        </w:rPr>
        <w:t>[149 U.S. 698 (1893)]:</w:t>
      </w:r>
      <w:r>
        <w:rPr>
          <w:sz w:val="24"/>
          <w:szCs w:val="24"/>
        </w:rPr>
        <w:t xml:space="preserve"> Chinese persons born outside U.S. can’t become U.S. citizens through naturalization.</w:t>
      </w:r>
    </w:p>
    <w:p w14:paraId="6E92FEFF" w14:textId="77777777" w:rsidR="00C87419" w:rsidRDefault="00C87419" w:rsidP="00C87419">
      <w:pPr>
        <w:spacing w:after="0"/>
        <w:rPr>
          <w:b/>
          <w:sz w:val="24"/>
          <w:szCs w:val="24"/>
        </w:rPr>
      </w:pPr>
    </w:p>
    <w:p w14:paraId="6E92FF00" w14:textId="77777777" w:rsidR="00A65C5C" w:rsidRDefault="00A65C5C" w:rsidP="00C87419">
      <w:pPr>
        <w:spacing w:after="0"/>
        <w:rPr>
          <w:b/>
          <w:sz w:val="24"/>
          <w:szCs w:val="24"/>
        </w:rPr>
      </w:pPr>
    </w:p>
    <w:p w14:paraId="6E92FF01" w14:textId="77777777" w:rsidR="009917BC" w:rsidRDefault="009917BC" w:rsidP="00C87419">
      <w:pPr>
        <w:spacing w:after="0"/>
        <w:rPr>
          <w:sz w:val="24"/>
          <w:szCs w:val="24"/>
        </w:rPr>
      </w:pPr>
      <w:r>
        <w:rPr>
          <w:b/>
          <w:sz w:val="24"/>
          <w:szCs w:val="24"/>
        </w:rPr>
        <w:lastRenderedPageBreak/>
        <w:t xml:space="preserve">Relevant </w:t>
      </w:r>
      <w:r w:rsidR="00757CDB">
        <w:rPr>
          <w:b/>
          <w:sz w:val="24"/>
          <w:szCs w:val="24"/>
        </w:rPr>
        <w:t xml:space="preserve">U.S. </w:t>
      </w:r>
      <w:r>
        <w:rPr>
          <w:b/>
          <w:sz w:val="24"/>
          <w:szCs w:val="24"/>
        </w:rPr>
        <w:t>History:</w:t>
      </w:r>
    </w:p>
    <w:p w14:paraId="6E92FF02" w14:textId="77777777" w:rsidR="00707AC1" w:rsidRPr="00707AC1" w:rsidRDefault="00707AC1" w:rsidP="00707AC1">
      <w:pPr>
        <w:pStyle w:val="ListParagraph"/>
        <w:numPr>
          <w:ilvl w:val="0"/>
          <w:numId w:val="2"/>
        </w:numPr>
        <w:spacing w:after="0"/>
        <w:rPr>
          <w:sz w:val="24"/>
          <w:szCs w:val="24"/>
        </w:rPr>
      </w:pPr>
      <w:r>
        <w:rPr>
          <w:sz w:val="24"/>
          <w:szCs w:val="24"/>
        </w:rPr>
        <w:t>In making the Fourteenth Amendment, there were a number of people in Congress who objected to the idea of Chinese people becoming American citizens by birth.</w:t>
      </w:r>
    </w:p>
    <w:p w14:paraId="6E92FF03" w14:textId="77777777" w:rsidR="009917BC" w:rsidRDefault="009917BC" w:rsidP="00C87419">
      <w:pPr>
        <w:spacing w:after="0"/>
        <w:rPr>
          <w:b/>
          <w:sz w:val="24"/>
          <w:szCs w:val="24"/>
        </w:rPr>
      </w:pPr>
    </w:p>
    <w:p w14:paraId="6E92FF04" w14:textId="77777777" w:rsidR="00E16E68" w:rsidRPr="00C87419" w:rsidRDefault="00E16E68" w:rsidP="00C87419">
      <w:pPr>
        <w:spacing w:after="0"/>
        <w:rPr>
          <w:sz w:val="24"/>
          <w:szCs w:val="24"/>
        </w:rPr>
      </w:pPr>
      <w:r>
        <w:rPr>
          <w:b/>
          <w:sz w:val="24"/>
          <w:szCs w:val="24"/>
        </w:rPr>
        <w:t>Dicta:</w:t>
      </w:r>
    </w:p>
    <w:p w14:paraId="6E92FF05" w14:textId="77777777" w:rsidR="00C87419" w:rsidRDefault="002A0FE4" w:rsidP="002A0FE4">
      <w:pPr>
        <w:pStyle w:val="ListParagraph"/>
        <w:numPr>
          <w:ilvl w:val="0"/>
          <w:numId w:val="2"/>
        </w:numPr>
        <w:spacing w:after="0"/>
        <w:rPr>
          <w:sz w:val="24"/>
          <w:szCs w:val="24"/>
        </w:rPr>
      </w:pPr>
      <w:r>
        <w:rPr>
          <w:sz w:val="24"/>
          <w:szCs w:val="24"/>
        </w:rPr>
        <w:t>“In the forefront both of the Fourteenth Amendment of the Constitution and of the Civil Rights Act of 1866, the fundamental principle of citizenship by birth within the dominion was reaffirmed in the most explicit and comprehensive terms.” (675)</w:t>
      </w:r>
    </w:p>
    <w:p w14:paraId="6E92FF06" w14:textId="77777777" w:rsidR="0068581F" w:rsidRDefault="0068581F" w:rsidP="002A0FE4">
      <w:pPr>
        <w:pStyle w:val="ListParagraph"/>
        <w:numPr>
          <w:ilvl w:val="0"/>
          <w:numId w:val="2"/>
        </w:numPr>
        <w:spacing w:after="0"/>
        <w:rPr>
          <w:sz w:val="24"/>
          <w:szCs w:val="24"/>
        </w:rPr>
      </w:pPr>
      <w:r>
        <w:rPr>
          <w:sz w:val="24"/>
          <w:szCs w:val="24"/>
        </w:rPr>
        <w:t>“The same Congress, shortly afterwards, evidently thinking it unwise, and perhaps unsafe, to leave so important a declaration of rights to depend upon an ordinary act of legislation, which might be repealed by any subsequent Congress, framed the Fourteenth Amendment of the Constitution…” (675)</w:t>
      </w:r>
    </w:p>
    <w:p w14:paraId="6E92FF07" w14:textId="77777777" w:rsidR="0068581F" w:rsidRDefault="0068581F" w:rsidP="002A0FE4">
      <w:pPr>
        <w:pStyle w:val="ListParagraph"/>
        <w:numPr>
          <w:ilvl w:val="0"/>
          <w:numId w:val="2"/>
        </w:numPr>
        <w:spacing w:after="0"/>
        <w:rPr>
          <w:sz w:val="24"/>
          <w:szCs w:val="24"/>
        </w:rPr>
      </w:pPr>
      <w:r>
        <w:rPr>
          <w:sz w:val="24"/>
          <w:szCs w:val="24"/>
        </w:rPr>
        <w:t>“…the opening sentence of the Fourteenth Amendment is throughout affirmative and declaratory, intended to allay doubts and to settle controversies which had arisen, and not to impose any new restrictions upon citizenship.” (687-688)</w:t>
      </w:r>
    </w:p>
    <w:p w14:paraId="6E92FF08" w14:textId="77777777" w:rsidR="00DD768B" w:rsidRPr="002A0FE4" w:rsidRDefault="00DD768B" w:rsidP="002A0FE4">
      <w:pPr>
        <w:pStyle w:val="ListParagraph"/>
        <w:numPr>
          <w:ilvl w:val="0"/>
          <w:numId w:val="2"/>
        </w:numPr>
        <w:spacing w:after="0"/>
        <w:rPr>
          <w:sz w:val="24"/>
          <w:szCs w:val="24"/>
        </w:rPr>
      </w:pPr>
      <w:r>
        <w:rPr>
          <w:sz w:val="24"/>
          <w:szCs w:val="24"/>
        </w:rPr>
        <w:t>“The Fourteenth Amendment, while it leaves the power where it was before, in Congress, to regulate naturalization, has conferred no authority upon Congress to restrict the effect of birth, declared by the constitution to constitute a sufficient and complete right to citizenship.” (703)</w:t>
      </w:r>
    </w:p>
    <w:p w14:paraId="6E92FF09" w14:textId="77777777" w:rsidR="00552EC4" w:rsidRPr="00C87419" w:rsidRDefault="00552EC4" w:rsidP="00C87419">
      <w:pPr>
        <w:spacing w:after="0"/>
        <w:rPr>
          <w:sz w:val="24"/>
          <w:szCs w:val="24"/>
        </w:rPr>
      </w:pPr>
    </w:p>
    <w:p w14:paraId="6E92FF0A" w14:textId="77777777" w:rsidR="00552EC4" w:rsidRDefault="00552EC4" w:rsidP="00C87419">
      <w:pPr>
        <w:spacing w:after="0"/>
        <w:rPr>
          <w:b/>
          <w:sz w:val="24"/>
          <w:szCs w:val="24"/>
        </w:rPr>
      </w:pPr>
    </w:p>
    <w:p w14:paraId="6E92FF0B" w14:textId="77777777" w:rsidR="00E16E68" w:rsidRPr="00E16E68" w:rsidRDefault="00E16E68" w:rsidP="00C87419">
      <w:pPr>
        <w:spacing w:after="0"/>
        <w:rPr>
          <w:b/>
          <w:sz w:val="24"/>
          <w:szCs w:val="24"/>
        </w:rPr>
      </w:pPr>
    </w:p>
    <w:sectPr w:rsidR="00E16E68" w:rsidRPr="00E16E68" w:rsidSect="00E16E68">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25D320" w14:textId="77777777" w:rsidR="008955AB" w:rsidRDefault="008955AB" w:rsidP="00E16E68">
      <w:pPr>
        <w:spacing w:after="0" w:line="240" w:lineRule="auto"/>
      </w:pPr>
      <w:r>
        <w:separator/>
      </w:r>
    </w:p>
  </w:endnote>
  <w:endnote w:type="continuationSeparator" w:id="0">
    <w:p w14:paraId="4217F311" w14:textId="77777777" w:rsidR="008955AB" w:rsidRDefault="008955AB"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63960" w14:textId="77777777" w:rsidR="008955AB" w:rsidRDefault="008955AB" w:rsidP="00E16E68">
      <w:pPr>
        <w:spacing w:after="0" w:line="240" w:lineRule="auto"/>
      </w:pPr>
      <w:r>
        <w:separator/>
      </w:r>
    </w:p>
  </w:footnote>
  <w:footnote w:type="continuationSeparator" w:id="0">
    <w:p w14:paraId="5857C81B" w14:textId="77777777" w:rsidR="008955AB" w:rsidRDefault="008955AB"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2FF10" w14:textId="77777777" w:rsidR="00E16E68" w:rsidRDefault="008E5B66" w:rsidP="00757CDB">
    <w:pPr>
      <w:pStyle w:val="Header"/>
      <w:jc w:val="right"/>
    </w:pPr>
    <w:r>
      <w:t>US</w:t>
    </w:r>
    <w:r w:rsidR="0016476D">
      <w:t xml:space="preserve"> </w:t>
    </w:r>
    <w:r w:rsidR="007D1AC2">
      <w:t>Supreme</w:t>
    </w:r>
    <w:r w:rsidR="0016476D">
      <w:t xml:space="preserve"> Court</w:t>
    </w:r>
    <w:r w:rsidR="00E16E68">
      <w:tab/>
    </w:r>
    <w:r w:rsidR="00EE27D2">
      <w:t>1898</w:t>
    </w:r>
    <w:r w:rsidR="00E16E68">
      <w:tab/>
    </w:r>
    <w:r w:rsidR="00EE27D2">
      <w:t>U.S. v. Wong Kim Ark</w:t>
    </w:r>
  </w:p>
  <w:p w14:paraId="6E92FF11" w14:textId="77777777" w:rsidR="00552EC4" w:rsidRDefault="00552EC4" w:rsidP="00552EC4">
    <w:pPr>
      <w:pStyle w:val="Header"/>
      <w:jc w:val="right"/>
    </w:pPr>
    <w:r>
      <w:tab/>
    </w:r>
    <w:r>
      <w:tab/>
    </w:r>
    <w:r w:rsidR="00EE27D2">
      <w:t>BIRTHRIGHT CITIZENSHIP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D0C37"/>
    <w:multiLevelType w:val="hybridMultilevel"/>
    <w:tmpl w:val="B5E83CE8"/>
    <w:lvl w:ilvl="0" w:tplc="00A0715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6E68"/>
    <w:rsid w:val="00054BBC"/>
    <w:rsid w:val="00144D3B"/>
    <w:rsid w:val="0016476D"/>
    <w:rsid w:val="001B0867"/>
    <w:rsid w:val="002A0FE4"/>
    <w:rsid w:val="00430D06"/>
    <w:rsid w:val="00457D27"/>
    <w:rsid w:val="00552EC4"/>
    <w:rsid w:val="0068581F"/>
    <w:rsid w:val="00707AC1"/>
    <w:rsid w:val="00757CDB"/>
    <w:rsid w:val="007D1A6C"/>
    <w:rsid w:val="007D1AC2"/>
    <w:rsid w:val="0089130D"/>
    <w:rsid w:val="008955AB"/>
    <w:rsid w:val="008A41F9"/>
    <w:rsid w:val="008E5B66"/>
    <w:rsid w:val="009917BC"/>
    <w:rsid w:val="00A65C5C"/>
    <w:rsid w:val="00A71E2C"/>
    <w:rsid w:val="00B330E3"/>
    <w:rsid w:val="00B564E2"/>
    <w:rsid w:val="00B667F9"/>
    <w:rsid w:val="00B728FD"/>
    <w:rsid w:val="00B778D1"/>
    <w:rsid w:val="00B94BBA"/>
    <w:rsid w:val="00C87419"/>
    <w:rsid w:val="00CC3AFE"/>
    <w:rsid w:val="00CC7EEE"/>
    <w:rsid w:val="00CD6DF7"/>
    <w:rsid w:val="00D66735"/>
    <w:rsid w:val="00DD768B"/>
    <w:rsid w:val="00E16E68"/>
    <w:rsid w:val="00E2134E"/>
    <w:rsid w:val="00ED1103"/>
    <w:rsid w:val="00EE2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2FEE1"/>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 w:type="character" w:styleId="Hyperlink">
    <w:name w:val="Hyperlink"/>
    <w:basedOn w:val="DefaultParagraphFont"/>
    <w:uiPriority w:val="99"/>
    <w:unhideWhenUsed/>
    <w:rsid w:val="00B728F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oyez.org/cases/1850-1900/169us64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cp:revision>
  <dcterms:created xsi:type="dcterms:W3CDTF">2018-11-07T00:18:00Z</dcterms:created>
  <dcterms:modified xsi:type="dcterms:W3CDTF">2021-05-21T14:03:00Z</dcterms:modified>
</cp:coreProperties>
</file>