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6DE4BB10" w:rsidR="00E16E68" w:rsidRPr="00ED7609" w:rsidRDefault="00231BDE"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99EFF02" w14:textId="77777777" w:rsidR="003F189F" w:rsidRDefault="00E16E68"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proofErr w:type="spellStart"/>
      <w:r w:rsidR="00A26365">
        <w:rPr>
          <w:rFonts w:ascii="Times New Roman" w:hAnsi="Times New Roman" w:cs="Times New Roman"/>
          <w:bCs/>
          <w:i/>
          <w:iCs/>
          <w:sz w:val="24"/>
          <w:szCs w:val="24"/>
        </w:rPr>
        <w:t>Abdulai</w:t>
      </w:r>
      <w:proofErr w:type="spellEnd"/>
      <w:r w:rsidR="00A26365">
        <w:rPr>
          <w:rFonts w:ascii="Times New Roman" w:hAnsi="Times New Roman" w:cs="Times New Roman"/>
          <w:bCs/>
          <w:i/>
          <w:iCs/>
          <w:sz w:val="24"/>
          <w:szCs w:val="24"/>
        </w:rPr>
        <w:t xml:space="preserve"> v. Ashcroft</w:t>
      </w:r>
      <w:r w:rsidR="00A26365">
        <w:rPr>
          <w:rFonts w:ascii="Times New Roman" w:hAnsi="Times New Roman" w:cs="Times New Roman"/>
          <w:bCs/>
          <w:sz w:val="24"/>
          <w:szCs w:val="24"/>
        </w:rPr>
        <w:t xml:space="preserve">, </w:t>
      </w:r>
      <w:r w:rsidR="003807D8">
        <w:rPr>
          <w:rFonts w:ascii="Times New Roman" w:hAnsi="Times New Roman" w:cs="Times New Roman"/>
          <w:bCs/>
          <w:sz w:val="24"/>
          <w:szCs w:val="24"/>
        </w:rPr>
        <w:t xml:space="preserve">239 F.3d 542 (3d Cir. 2001), </w:t>
      </w:r>
      <w:r w:rsidR="003807D8">
        <w:rPr>
          <w:rFonts w:ascii="Times New Roman" w:hAnsi="Times New Roman" w:cs="Times New Roman"/>
          <w:bCs/>
          <w:i/>
          <w:iCs/>
          <w:sz w:val="24"/>
          <w:szCs w:val="24"/>
        </w:rPr>
        <w:t xml:space="preserve">superseded by </w:t>
      </w:r>
      <w:r w:rsidR="00B42E18">
        <w:rPr>
          <w:rFonts w:ascii="Times New Roman" w:hAnsi="Times New Roman" w:cs="Times New Roman"/>
          <w:bCs/>
          <w:i/>
          <w:iCs/>
          <w:sz w:val="24"/>
          <w:szCs w:val="24"/>
        </w:rPr>
        <w:t>REAL ID Act 2005 in some respects</w:t>
      </w:r>
      <w:r w:rsidR="003F189F">
        <w:rPr>
          <w:rFonts w:ascii="Times New Roman" w:hAnsi="Times New Roman" w:cs="Times New Roman"/>
          <w:bCs/>
          <w:i/>
          <w:iCs/>
          <w:sz w:val="24"/>
          <w:szCs w:val="24"/>
        </w:rPr>
        <w:t xml:space="preserve"> (see comments below)</w:t>
      </w:r>
      <w:r w:rsidR="003F189F">
        <w:rPr>
          <w:rFonts w:ascii="Times New Roman" w:hAnsi="Times New Roman" w:cs="Times New Roman"/>
          <w:bCs/>
          <w:i/>
          <w:iCs/>
          <w:sz w:val="24"/>
          <w:szCs w:val="24"/>
        </w:rPr>
        <w:tab/>
      </w:r>
      <w:r w:rsidR="003F189F">
        <w:rPr>
          <w:rFonts w:ascii="Times New Roman" w:hAnsi="Times New Roman" w:cs="Times New Roman"/>
          <w:bCs/>
          <w:i/>
          <w:iCs/>
          <w:sz w:val="24"/>
          <w:szCs w:val="24"/>
        </w:rPr>
        <w:tab/>
      </w:r>
      <w:r w:rsidR="003F189F">
        <w:rPr>
          <w:rFonts w:ascii="Times New Roman" w:hAnsi="Times New Roman" w:cs="Times New Roman"/>
          <w:bCs/>
          <w:i/>
          <w:iCs/>
          <w:sz w:val="24"/>
          <w:szCs w:val="24"/>
        </w:rPr>
        <w:tab/>
      </w:r>
      <w:r w:rsidR="008E5B66" w:rsidRPr="00ED7609">
        <w:rPr>
          <w:rFonts w:ascii="Times New Roman" w:hAnsi="Times New Roman" w:cs="Times New Roman"/>
          <w:b/>
          <w:sz w:val="24"/>
          <w:szCs w:val="24"/>
        </w:rPr>
        <w:t>Date:</w:t>
      </w:r>
      <w:r w:rsidR="009809CA">
        <w:rPr>
          <w:rFonts w:ascii="Times New Roman" w:hAnsi="Times New Roman" w:cs="Times New Roman"/>
          <w:bCs/>
          <w:sz w:val="24"/>
          <w:szCs w:val="24"/>
        </w:rPr>
        <w:t xml:space="preserve"> Feb. 12, 2001</w:t>
      </w:r>
      <w:r w:rsidR="008E5B66" w:rsidRPr="00ED7609">
        <w:rPr>
          <w:rFonts w:ascii="Times New Roman" w:hAnsi="Times New Roman" w:cs="Times New Roman"/>
          <w:b/>
          <w:sz w:val="24"/>
          <w:szCs w:val="24"/>
        </w:rPr>
        <w:tab/>
      </w:r>
      <w:r w:rsidR="008E5B66" w:rsidRPr="00ED7609">
        <w:rPr>
          <w:rFonts w:ascii="Times New Roman" w:hAnsi="Times New Roman" w:cs="Times New Roman"/>
          <w:b/>
          <w:sz w:val="24"/>
          <w:szCs w:val="24"/>
        </w:rPr>
        <w:tab/>
      </w:r>
      <w:r w:rsidR="00A65C5C" w:rsidRPr="00ED7609">
        <w:rPr>
          <w:rFonts w:ascii="Times New Roman" w:hAnsi="Times New Roman" w:cs="Times New Roman"/>
          <w:b/>
          <w:sz w:val="24"/>
          <w:szCs w:val="24"/>
        </w:rPr>
        <w:tab/>
      </w:r>
    </w:p>
    <w:p w14:paraId="4DC4FCC0" w14:textId="44FBF696" w:rsidR="00E16E68" w:rsidRPr="00F800B2" w:rsidRDefault="007F7A38" w:rsidP="00C87419">
      <w:pPr>
        <w:spacing w:after="0"/>
        <w:rPr>
          <w:rFonts w:ascii="Times New Roman" w:hAnsi="Times New Roman" w:cs="Times New Roman"/>
          <w:bCs/>
          <w:i/>
          <w:iCs/>
          <w:sz w:val="24"/>
          <w:szCs w:val="24"/>
        </w:rPr>
      </w:pPr>
      <w:r>
        <w:rPr>
          <w:rFonts w:ascii="Times New Roman" w:hAnsi="Times New Roman" w:cs="Times New Roman"/>
          <w:b/>
          <w:sz w:val="24"/>
          <w:szCs w:val="24"/>
        </w:rPr>
        <w:t>Panel</w:t>
      </w:r>
      <w:r w:rsidR="008E5B66"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51275F">
        <w:rPr>
          <w:rFonts w:ascii="Times New Roman" w:hAnsi="Times New Roman" w:cs="Times New Roman"/>
          <w:sz w:val="24"/>
          <w:szCs w:val="24"/>
        </w:rPr>
        <w:t>Becker, Nygaard, Fuentes</w:t>
      </w:r>
      <w:r w:rsidR="00F800B2">
        <w:rPr>
          <w:rFonts w:ascii="Times New Roman" w:hAnsi="Times New Roman" w:cs="Times New Roman"/>
          <w:bCs/>
          <w:i/>
          <w:iCs/>
          <w:sz w:val="24"/>
          <w:szCs w:val="24"/>
        </w:rPr>
        <w:tab/>
      </w:r>
      <w:r w:rsidR="00F800B2">
        <w:rPr>
          <w:rFonts w:ascii="Times New Roman" w:hAnsi="Times New Roman" w:cs="Times New Roman"/>
          <w:bCs/>
          <w:i/>
          <w:iCs/>
          <w:sz w:val="24"/>
          <w:szCs w:val="24"/>
        </w:rPr>
        <w:tab/>
      </w:r>
      <w:r w:rsidR="008E5B66"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F800B2">
        <w:rPr>
          <w:rFonts w:ascii="Times New Roman" w:hAnsi="Times New Roman" w:cs="Times New Roman"/>
          <w:bCs/>
          <w:sz w:val="24"/>
          <w:szCs w:val="24"/>
        </w:rPr>
        <w:t xml:space="preserve"> Becker</w:t>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r w:rsidR="00757CDB" w:rsidRPr="00ED7609">
        <w:rPr>
          <w:rFonts w:ascii="Times New Roman" w:hAnsi="Times New Roman" w:cs="Times New Roman"/>
          <w:b/>
          <w:sz w:val="24"/>
          <w:szCs w:val="24"/>
        </w:rPr>
        <w:tab/>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53C3149A"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F800B2">
        <w:rPr>
          <w:rFonts w:ascii="Times New Roman" w:hAnsi="Times New Roman" w:cs="Times New Roman"/>
          <w:sz w:val="24"/>
          <w:szCs w:val="24"/>
        </w:rPr>
        <w:t xml:space="preserve">Immigration, asylum, corroborating evidence, </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0045C444" w:rsidR="00E16E68" w:rsidRPr="00ED7609"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D20D97">
        <w:rPr>
          <w:rFonts w:ascii="Times New Roman" w:hAnsi="Times New Roman" w:cs="Times New Roman"/>
          <w:sz w:val="24"/>
          <w:szCs w:val="24"/>
        </w:rPr>
        <w:t xml:space="preserve">May the BIA sometimes require otherwise-credible applicants for asylum /WH to prevent evidence corroborating their stories </w:t>
      </w:r>
      <w:proofErr w:type="gramStart"/>
      <w:r w:rsidR="00D20D97">
        <w:rPr>
          <w:rFonts w:ascii="Times New Roman" w:hAnsi="Times New Roman" w:cs="Times New Roman"/>
          <w:sz w:val="24"/>
          <w:szCs w:val="24"/>
        </w:rPr>
        <w:t>in order to</w:t>
      </w:r>
      <w:proofErr w:type="gramEnd"/>
      <w:r w:rsidR="00D20D97">
        <w:rPr>
          <w:rFonts w:ascii="Times New Roman" w:hAnsi="Times New Roman" w:cs="Times New Roman"/>
          <w:sz w:val="24"/>
          <w:szCs w:val="24"/>
        </w:rPr>
        <w:t xml:space="preserve"> meet their burden of proof?</w:t>
      </w:r>
    </w:p>
    <w:p w14:paraId="2EBCB66D" w14:textId="77777777" w:rsidR="00C87419" w:rsidRPr="00ED7609" w:rsidRDefault="00C87419" w:rsidP="00C87419">
      <w:pPr>
        <w:spacing w:after="0"/>
        <w:rPr>
          <w:rFonts w:ascii="Times New Roman" w:hAnsi="Times New Roman" w:cs="Times New Roman"/>
          <w:b/>
          <w:sz w:val="24"/>
          <w:szCs w:val="24"/>
        </w:rPr>
      </w:pPr>
    </w:p>
    <w:p w14:paraId="18AF451F" w14:textId="361A0E8C"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r w:rsidR="00D20D97">
        <w:rPr>
          <w:rFonts w:ascii="Times New Roman" w:hAnsi="Times New Roman" w:cs="Times New Roman"/>
          <w:sz w:val="24"/>
          <w:szCs w:val="24"/>
        </w:rPr>
        <w:t>Yes, the BIA may sometimes require corroborating evidence</w:t>
      </w:r>
      <w:r w:rsidR="001A4BF5">
        <w:rPr>
          <w:rFonts w:ascii="Times New Roman" w:hAnsi="Times New Roman" w:cs="Times New Roman"/>
          <w:sz w:val="24"/>
          <w:szCs w:val="24"/>
        </w:rPr>
        <w:t xml:space="preserve"> to support otherwise-credible testimony.</w:t>
      </w:r>
      <w:r w:rsidR="0039782C">
        <w:rPr>
          <w:rFonts w:ascii="Times New Roman" w:hAnsi="Times New Roman" w:cs="Times New Roman"/>
          <w:sz w:val="24"/>
          <w:szCs w:val="24"/>
        </w:rPr>
        <w:t xml:space="preserve"> Vacated &amp; remanded here, though, because </w:t>
      </w:r>
      <w:proofErr w:type="gramStart"/>
      <w:r w:rsidR="0039782C">
        <w:rPr>
          <w:rFonts w:ascii="Times New Roman" w:hAnsi="Times New Roman" w:cs="Times New Roman"/>
          <w:sz w:val="24"/>
          <w:szCs w:val="24"/>
        </w:rPr>
        <w:t>doesn’t</w:t>
      </w:r>
      <w:proofErr w:type="gramEnd"/>
      <w:r w:rsidR="0039782C">
        <w:rPr>
          <w:rFonts w:ascii="Times New Roman" w:hAnsi="Times New Roman" w:cs="Times New Roman"/>
          <w:sz w:val="24"/>
          <w:szCs w:val="24"/>
        </w:rPr>
        <w:t xml:space="preserve"> look like BIA followed its own rules.</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4552EFB8" w:rsidR="00A65C5C" w:rsidRPr="00686208"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686208">
        <w:rPr>
          <w:rFonts w:ascii="Times New Roman" w:hAnsi="Times New Roman" w:cs="Times New Roman"/>
          <w:bCs/>
          <w:sz w:val="24"/>
          <w:szCs w:val="24"/>
        </w:rPr>
        <w:t xml:space="preserve"> Credible testimony is neither per se sufficient nor per se insufficient. 552</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388F27AB" w:rsidR="008E5B66" w:rsidRPr="00F800B2"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F800B2">
        <w:rPr>
          <w:rFonts w:ascii="Times New Roman" w:hAnsi="Times New Roman" w:cs="Times New Roman"/>
          <w:bCs/>
          <w:sz w:val="24"/>
          <w:szCs w:val="24"/>
        </w:rPr>
        <w:t xml:space="preserve"> Nigerian national </w:t>
      </w:r>
      <w:r w:rsidR="00813D2C">
        <w:rPr>
          <w:rFonts w:ascii="Times New Roman" w:hAnsi="Times New Roman" w:cs="Times New Roman"/>
          <w:bCs/>
          <w:sz w:val="24"/>
          <w:szCs w:val="24"/>
        </w:rPr>
        <w:t xml:space="preserve">entered U.S. 1998 with no </w:t>
      </w:r>
      <w:proofErr w:type="gramStart"/>
      <w:r w:rsidR="00813D2C">
        <w:rPr>
          <w:rFonts w:ascii="Times New Roman" w:hAnsi="Times New Roman" w:cs="Times New Roman"/>
          <w:bCs/>
          <w:sz w:val="24"/>
          <w:szCs w:val="24"/>
        </w:rPr>
        <w:t>documentation, and</w:t>
      </w:r>
      <w:proofErr w:type="gramEnd"/>
      <w:r w:rsidR="00813D2C">
        <w:rPr>
          <w:rFonts w:ascii="Times New Roman" w:hAnsi="Times New Roman" w:cs="Times New Roman"/>
          <w:bCs/>
          <w:sz w:val="24"/>
          <w:szCs w:val="24"/>
        </w:rPr>
        <w:t xml:space="preserve"> was taken into custody.</w:t>
      </w:r>
      <w:r w:rsidR="007613B3">
        <w:rPr>
          <w:rFonts w:ascii="Times New Roman" w:hAnsi="Times New Roman" w:cs="Times New Roman"/>
          <w:bCs/>
          <w:sz w:val="24"/>
          <w:szCs w:val="24"/>
        </w:rPr>
        <w:t xml:space="preserve"> Applied for asylum.</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66F1A568"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5F638243" w14:textId="6F701561" w:rsidR="007613B3" w:rsidRDefault="007613B3" w:rsidP="007613B3">
      <w:pPr>
        <w:pStyle w:val="ListParagraph"/>
        <w:numPr>
          <w:ilvl w:val="0"/>
          <w:numId w:val="4"/>
        </w:numPr>
        <w:spacing w:after="0"/>
        <w:rPr>
          <w:rFonts w:ascii="Times New Roman" w:hAnsi="Times New Roman" w:cs="Times New Roman"/>
          <w:sz w:val="24"/>
          <w:szCs w:val="24"/>
        </w:rPr>
      </w:pPr>
      <w:r>
        <w:rPr>
          <w:rFonts w:ascii="Times New Roman" w:hAnsi="Times New Roman" w:cs="Times New Roman"/>
          <w:b/>
          <w:bCs/>
          <w:sz w:val="24"/>
          <w:szCs w:val="24"/>
        </w:rPr>
        <w:t>IJ:</w:t>
      </w:r>
      <w:r>
        <w:rPr>
          <w:rFonts w:ascii="Times New Roman" w:hAnsi="Times New Roman" w:cs="Times New Roman"/>
          <w:sz w:val="24"/>
          <w:szCs w:val="24"/>
        </w:rPr>
        <w:t xml:space="preserve"> </w:t>
      </w:r>
      <w:r w:rsidR="00C76C4E">
        <w:rPr>
          <w:rFonts w:ascii="Times New Roman" w:hAnsi="Times New Roman" w:cs="Times New Roman"/>
          <w:sz w:val="24"/>
          <w:szCs w:val="24"/>
        </w:rPr>
        <w:t>denied application for asylum for lack of adequate evidence for eligibility.</w:t>
      </w:r>
    </w:p>
    <w:p w14:paraId="39F1178F" w14:textId="4E0F90B1" w:rsidR="00D62F1C" w:rsidRDefault="00D62F1C" w:rsidP="007613B3">
      <w:pPr>
        <w:pStyle w:val="ListParagraph"/>
        <w:numPr>
          <w:ilvl w:val="0"/>
          <w:numId w:val="4"/>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remanded to IJ</w:t>
      </w:r>
      <w:r w:rsidR="00AA6169">
        <w:rPr>
          <w:rFonts w:ascii="Times New Roman" w:hAnsi="Times New Roman" w:cs="Times New Roman"/>
          <w:sz w:val="24"/>
          <w:szCs w:val="24"/>
        </w:rPr>
        <w:t xml:space="preserve"> because of recent changes in Nigeria. </w:t>
      </w:r>
    </w:p>
    <w:p w14:paraId="462EC6D8" w14:textId="616FAF17" w:rsidR="00BE248C" w:rsidRDefault="00BE248C" w:rsidP="007613B3">
      <w:pPr>
        <w:pStyle w:val="ListParagraph"/>
        <w:numPr>
          <w:ilvl w:val="0"/>
          <w:numId w:val="4"/>
        </w:numPr>
        <w:spacing w:after="0"/>
        <w:rPr>
          <w:rFonts w:ascii="Times New Roman" w:hAnsi="Times New Roman" w:cs="Times New Roman"/>
          <w:sz w:val="24"/>
          <w:szCs w:val="24"/>
        </w:rPr>
      </w:pPr>
      <w:r>
        <w:rPr>
          <w:rFonts w:ascii="Times New Roman" w:hAnsi="Times New Roman" w:cs="Times New Roman"/>
          <w:b/>
          <w:bCs/>
          <w:sz w:val="24"/>
          <w:szCs w:val="24"/>
        </w:rPr>
        <w:t>IJ #2:</w:t>
      </w:r>
      <w:r>
        <w:rPr>
          <w:rFonts w:ascii="Times New Roman" w:hAnsi="Times New Roman" w:cs="Times New Roman"/>
          <w:sz w:val="24"/>
          <w:szCs w:val="24"/>
        </w:rPr>
        <w:t xml:space="preserve"> expert testimony that conditions had not markedly changed; documentary evidence about transfer of power in Nigeria.</w:t>
      </w:r>
      <w:r w:rsidR="005C70E8">
        <w:rPr>
          <w:rFonts w:ascii="Times New Roman" w:hAnsi="Times New Roman" w:cs="Times New Roman"/>
          <w:sz w:val="24"/>
          <w:szCs w:val="24"/>
        </w:rPr>
        <w:t xml:space="preserve"> IJ still denied it for lack of specific and detailed evidence.</w:t>
      </w:r>
    </w:p>
    <w:p w14:paraId="22028557" w14:textId="06B212DC" w:rsidR="00A56633" w:rsidRPr="007613B3" w:rsidRDefault="00A56633" w:rsidP="007613B3">
      <w:pPr>
        <w:pStyle w:val="ListParagraph"/>
        <w:numPr>
          <w:ilvl w:val="0"/>
          <w:numId w:val="4"/>
        </w:numPr>
        <w:spacing w:after="0"/>
        <w:rPr>
          <w:rFonts w:ascii="Times New Roman" w:hAnsi="Times New Roman" w:cs="Times New Roman"/>
          <w:sz w:val="24"/>
          <w:szCs w:val="24"/>
        </w:rPr>
      </w:pPr>
      <w:r>
        <w:rPr>
          <w:rFonts w:ascii="Times New Roman" w:hAnsi="Times New Roman" w:cs="Times New Roman"/>
          <w:b/>
          <w:bCs/>
          <w:sz w:val="24"/>
          <w:szCs w:val="24"/>
        </w:rPr>
        <w:t>2000 BIA:</w:t>
      </w:r>
      <w:r>
        <w:rPr>
          <w:rFonts w:ascii="Times New Roman" w:hAnsi="Times New Roman" w:cs="Times New Roman"/>
          <w:sz w:val="24"/>
          <w:szCs w:val="24"/>
        </w:rPr>
        <w:t xml:space="preserve"> </w:t>
      </w:r>
      <w:r w:rsidR="005C70E8">
        <w:rPr>
          <w:rFonts w:ascii="Times New Roman" w:hAnsi="Times New Roman" w:cs="Times New Roman"/>
          <w:sz w:val="24"/>
          <w:szCs w:val="24"/>
        </w:rPr>
        <w:t xml:space="preserve">entered final order of </w:t>
      </w:r>
      <w:proofErr w:type="gramStart"/>
      <w:r w:rsidR="005C70E8">
        <w:rPr>
          <w:rFonts w:ascii="Times New Roman" w:hAnsi="Times New Roman" w:cs="Times New Roman"/>
          <w:sz w:val="24"/>
          <w:szCs w:val="24"/>
        </w:rPr>
        <w:t>removal</w:t>
      </w:r>
      <w:proofErr w:type="gramEnd"/>
    </w:p>
    <w:p w14:paraId="156B1D22" w14:textId="77777777" w:rsidR="009917BC" w:rsidRPr="00ED7609" w:rsidRDefault="009917BC" w:rsidP="008E5B66">
      <w:pPr>
        <w:spacing w:after="0"/>
        <w:rPr>
          <w:rFonts w:ascii="Times New Roman" w:hAnsi="Times New Roman" w:cs="Times New Roman"/>
          <w:b/>
          <w:sz w:val="24"/>
          <w:szCs w:val="24"/>
        </w:rPr>
      </w:pPr>
    </w:p>
    <w:p w14:paraId="6A868CAF" w14:textId="043442A0" w:rsidR="00E16E68" w:rsidRDefault="00434206" w:rsidP="00C87419">
      <w:pPr>
        <w:spacing w:after="0"/>
        <w:rPr>
          <w:rFonts w:ascii="Times New Roman" w:hAnsi="Times New Roman" w:cs="Times New Roman"/>
          <w:bCs/>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63ECA3A1" w14:textId="250EC2B0" w:rsidR="00D84920" w:rsidRDefault="00A43B0A" w:rsidP="00D84920">
      <w:pPr>
        <w:pStyle w:val="ListParagraph"/>
        <w:numPr>
          <w:ilvl w:val="0"/>
          <w:numId w:val="3"/>
        </w:numPr>
        <w:spacing w:after="0"/>
        <w:rPr>
          <w:rFonts w:ascii="Times New Roman" w:hAnsi="Times New Roman" w:cs="Times New Roman"/>
          <w:bCs/>
          <w:sz w:val="24"/>
          <w:szCs w:val="24"/>
        </w:rPr>
      </w:pPr>
      <w:proofErr w:type="spellStart"/>
      <w:r>
        <w:rPr>
          <w:rFonts w:ascii="Times New Roman" w:hAnsi="Times New Roman" w:cs="Times New Roman"/>
          <w:b/>
          <w:i/>
          <w:iCs/>
          <w:sz w:val="24"/>
          <w:szCs w:val="24"/>
        </w:rPr>
        <w:t>Abdulai</w:t>
      </w:r>
      <w:proofErr w:type="spellEnd"/>
      <w:r>
        <w:rPr>
          <w:rFonts w:ascii="Times New Roman" w:hAnsi="Times New Roman" w:cs="Times New Roman"/>
          <w:b/>
          <w:i/>
          <w:iCs/>
          <w:sz w:val="24"/>
          <w:szCs w:val="24"/>
        </w:rPr>
        <w:t xml:space="preserve"> </w:t>
      </w:r>
      <w:r>
        <w:rPr>
          <w:rFonts w:ascii="Times New Roman" w:hAnsi="Times New Roman" w:cs="Times New Roman"/>
          <w:b/>
          <w:sz w:val="24"/>
          <w:szCs w:val="24"/>
        </w:rPr>
        <w:t>Analysis</w:t>
      </w:r>
      <w:r w:rsidR="006B7C47">
        <w:rPr>
          <w:rFonts w:ascii="Times New Roman" w:hAnsi="Times New Roman" w:cs="Times New Roman"/>
          <w:b/>
          <w:sz w:val="24"/>
          <w:szCs w:val="24"/>
        </w:rPr>
        <w:t xml:space="preserve"> (BIA)</w:t>
      </w:r>
      <w:r>
        <w:rPr>
          <w:rFonts w:ascii="Times New Roman" w:hAnsi="Times New Roman" w:cs="Times New Roman"/>
          <w:b/>
          <w:sz w:val="24"/>
          <w:szCs w:val="24"/>
        </w:rPr>
        <w:t>:</w:t>
      </w:r>
    </w:p>
    <w:p w14:paraId="2DE47E9D" w14:textId="2FC4350F" w:rsidR="00A43B0A" w:rsidRDefault="00142779" w:rsidP="00A43B0A">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An identification of the facts for which it is reasonable to expect corroboration</w:t>
      </w:r>
      <w:r w:rsidR="00606F71">
        <w:rPr>
          <w:rFonts w:ascii="Times New Roman" w:hAnsi="Times New Roman" w:cs="Times New Roman"/>
          <w:bCs/>
          <w:sz w:val="24"/>
          <w:szCs w:val="24"/>
        </w:rPr>
        <w:t>.</w:t>
      </w:r>
    </w:p>
    <w:p w14:paraId="142DD066" w14:textId="50001F79" w:rsidR="000B6F01" w:rsidRDefault="006B7C47" w:rsidP="00A43B0A">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An inquiry as to whether the applicant has provided information corroborating the relevant facts</w:t>
      </w:r>
      <w:r w:rsidR="00606F71">
        <w:rPr>
          <w:rFonts w:ascii="Times New Roman" w:hAnsi="Times New Roman" w:cs="Times New Roman"/>
          <w:bCs/>
          <w:sz w:val="24"/>
          <w:szCs w:val="24"/>
        </w:rPr>
        <w:t>.</w:t>
      </w:r>
    </w:p>
    <w:p w14:paraId="4BBE8154" w14:textId="06DFBA70" w:rsidR="00EB6496" w:rsidRDefault="006B7C47" w:rsidP="00A43B0A">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An analysis </w:t>
      </w:r>
      <w:r w:rsidR="00606F71">
        <w:rPr>
          <w:rFonts w:ascii="Times New Roman" w:hAnsi="Times New Roman" w:cs="Times New Roman"/>
          <w:bCs/>
          <w:sz w:val="24"/>
          <w:szCs w:val="24"/>
        </w:rPr>
        <w:t>of whether the applicant has adequately explained his or her failure to do so.</w:t>
      </w:r>
    </w:p>
    <w:p w14:paraId="269D2269" w14:textId="7894F215" w:rsidR="00946E12" w:rsidRDefault="00946E12" w:rsidP="00946E12">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If evidence is not presented where it would be reasonable to expect it, this can lead to a finding that the applicant has failed to meet his burden of proof.</w:t>
      </w:r>
    </w:p>
    <w:p w14:paraId="05181694" w14:textId="2C426F86" w:rsidR="00FF1226" w:rsidRDefault="00FF1226" w:rsidP="00946E12">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w:t>
      </w:r>
      <w:proofErr w:type="gramStart"/>
      <w:r w:rsidR="00A45FA5">
        <w:rPr>
          <w:rFonts w:ascii="Times New Roman" w:hAnsi="Times New Roman" w:cs="Times New Roman"/>
          <w:bCs/>
          <w:sz w:val="24"/>
          <w:szCs w:val="24"/>
        </w:rPr>
        <w:t>the</w:t>
      </w:r>
      <w:proofErr w:type="gramEnd"/>
      <w:r w:rsidR="00A45FA5">
        <w:rPr>
          <w:rFonts w:ascii="Times New Roman" w:hAnsi="Times New Roman" w:cs="Times New Roman"/>
          <w:bCs/>
          <w:sz w:val="24"/>
          <w:szCs w:val="24"/>
        </w:rPr>
        <w:t xml:space="preserve"> question for due process purposes is not whether the BIA reached the </w:t>
      </w:r>
      <w:r w:rsidR="00A45FA5">
        <w:rPr>
          <w:rFonts w:ascii="Times New Roman" w:hAnsi="Times New Roman" w:cs="Times New Roman"/>
          <w:bCs/>
          <w:i/>
          <w:iCs/>
          <w:sz w:val="24"/>
          <w:szCs w:val="24"/>
        </w:rPr>
        <w:t>correct</w:t>
      </w:r>
      <w:r w:rsidR="00A45FA5">
        <w:rPr>
          <w:rFonts w:ascii="Times New Roman" w:hAnsi="Times New Roman" w:cs="Times New Roman"/>
          <w:bCs/>
          <w:sz w:val="24"/>
          <w:szCs w:val="24"/>
        </w:rPr>
        <w:t xml:space="preserve"> decision; rather, it is simply whether the Board made an individualized determination of </w:t>
      </w:r>
      <w:proofErr w:type="spellStart"/>
      <w:r w:rsidR="00A45FA5">
        <w:rPr>
          <w:rFonts w:ascii="Times New Roman" w:hAnsi="Times New Roman" w:cs="Times New Roman"/>
          <w:bCs/>
          <w:sz w:val="24"/>
          <w:szCs w:val="24"/>
        </w:rPr>
        <w:t>Abdulai’s</w:t>
      </w:r>
      <w:proofErr w:type="spellEnd"/>
      <w:r w:rsidR="00A45FA5">
        <w:rPr>
          <w:rFonts w:ascii="Times New Roman" w:hAnsi="Times New Roman" w:cs="Times New Roman"/>
          <w:bCs/>
          <w:sz w:val="24"/>
          <w:szCs w:val="24"/>
        </w:rPr>
        <w:t xml:space="preserve"> interests, and we believe that its opinion contains sufficient indicia that it did so.”</w:t>
      </w:r>
      <w:r w:rsidR="00A45FA5">
        <w:rPr>
          <w:rFonts w:ascii="Times New Roman" w:hAnsi="Times New Roman" w:cs="Times New Roman"/>
          <w:bCs/>
          <w:sz w:val="24"/>
          <w:szCs w:val="24"/>
        </w:rPr>
        <w:tab/>
      </w:r>
      <w:r w:rsidR="00982569">
        <w:rPr>
          <w:rFonts w:ascii="Times New Roman" w:hAnsi="Times New Roman" w:cs="Times New Roman"/>
          <w:bCs/>
          <w:sz w:val="24"/>
          <w:szCs w:val="24"/>
        </w:rPr>
        <w:t>550</w:t>
      </w:r>
    </w:p>
    <w:p w14:paraId="0BBD2F9D" w14:textId="44AD42AB" w:rsidR="00122B02" w:rsidRDefault="00122B02" w:rsidP="00946E12">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“Though never finding that his testimony lacked credibility, the BIA held that </w:t>
      </w:r>
      <w:proofErr w:type="spellStart"/>
      <w:r>
        <w:rPr>
          <w:rFonts w:ascii="Times New Roman" w:hAnsi="Times New Roman" w:cs="Times New Roman"/>
          <w:bCs/>
          <w:sz w:val="24"/>
          <w:szCs w:val="24"/>
        </w:rPr>
        <w:t>Abdulai</w:t>
      </w:r>
      <w:proofErr w:type="spellEnd"/>
      <w:r>
        <w:rPr>
          <w:rFonts w:ascii="Times New Roman" w:hAnsi="Times New Roman" w:cs="Times New Roman"/>
          <w:bCs/>
          <w:sz w:val="24"/>
          <w:szCs w:val="24"/>
        </w:rPr>
        <w:t xml:space="preserve"> had not met his burden of proof due to his failure to introduce evidence corroborating the specifics of his account.” 550-51</w:t>
      </w:r>
    </w:p>
    <w:p w14:paraId="45E3760F" w14:textId="213ED477" w:rsidR="00CC00C9" w:rsidRDefault="00CC00C9" w:rsidP="00946E12">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“The INA is completely silent as to whether, when it is reasonable to expect corroborating evidence, an otherwise-credible applicant who neither produces such corroboration nor adequately explains his or her </w:t>
      </w:r>
      <w:r>
        <w:rPr>
          <w:rFonts w:ascii="Times New Roman" w:hAnsi="Times New Roman" w:cs="Times New Roman"/>
          <w:bCs/>
          <w:sz w:val="24"/>
          <w:szCs w:val="24"/>
        </w:rPr>
        <w:lastRenderedPageBreak/>
        <w:t xml:space="preserve">failure to do so may be deemed to have failed to meet his or her burden of proof.”  552 </w:t>
      </w:r>
      <w:r>
        <w:rPr>
          <w:rFonts w:ascii="Times New Roman" w:hAnsi="Times New Roman" w:cs="Times New Roman"/>
          <w:bCs/>
          <w:color w:val="C00000"/>
          <w:sz w:val="24"/>
          <w:szCs w:val="24"/>
        </w:rPr>
        <w:t>[This part is spelled out now after the REAL ID Act of 2005]</w:t>
      </w:r>
    </w:p>
    <w:p w14:paraId="24B7B6D2" w14:textId="2366EB01" w:rsidR="00CC00C9" w:rsidRDefault="00CC00C9" w:rsidP="00946E12">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sz w:val="24"/>
          <w:szCs w:val="24"/>
        </w:rPr>
        <w:t>“Because the statute is silent, therefore, the question is whether the BIA’s interpretation is based on a permissible construction of the statute.”</w:t>
      </w:r>
      <w:r>
        <w:rPr>
          <w:rFonts w:ascii="Times New Roman" w:hAnsi="Times New Roman" w:cs="Times New Roman"/>
          <w:bCs/>
          <w:sz w:val="24"/>
          <w:szCs w:val="24"/>
        </w:rPr>
        <w:tab/>
        <w:t>552</w:t>
      </w:r>
    </w:p>
    <w:p w14:paraId="3E525430" w14:textId="7F7E84E4" w:rsidR="00403AB3" w:rsidRDefault="00403AB3" w:rsidP="00403AB3">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 xml:space="preserve">Statute (prior to REAL ID) said that </w:t>
      </w:r>
      <w:r w:rsidR="00956ED6">
        <w:rPr>
          <w:rFonts w:ascii="Times New Roman" w:hAnsi="Times New Roman" w:cs="Times New Roman"/>
          <w:bCs/>
          <w:sz w:val="24"/>
          <w:szCs w:val="24"/>
        </w:rPr>
        <w:t xml:space="preserve">credible testimony </w:t>
      </w:r>
      <w:r w:rsidR="00956ED6" w:rsidRPr="00435816">
        <w:rPr>
          <w:rFonts w:ascii="Times New Roman" w:hAnsi="Times New Roman" w:cs="Times New Roman"/>
          <w:b/>
          <w:sz w:val="24"/>
          <w:szCs w:val="24"/>
        </w:rPr>
        <w:t>may</w:t>
      </w:r>
      <w:r w:rsidR="00956ED6">
        <w:rPr>
          <w:rFonts w:ascii="Times New Roman" w:hAnsi="Times New Roman" w:cs="Times New Roman"/>
          <w:bCs/>
          <w:sz w:val="24"/>
          <w:szCs w:val="24"/>
        </w:rPr>
        <w:t xml:space="preserve"> be sufficient to meet burden of proof—but this </w:t>
      </w:r>
      <w:proofErr w:type="gramStart"/>
      <w:r w:rsidR="00956ED6">
        <w:rPr>
          <w:rFonts w:ascii="Times New Roman" w:hAnsi="Times New Roman" w:cs="Times New Roman"/>
          <w:bCs/>
          <w:sz w:val="24"/>
          <w:szCs w:val="24"/>
        </w:rPr>
        <w:t>doesn’t</w:t>
      </w:r>
      <w:proofErr w:type="gramEnd"/>
      <w:r w:rsidR="00956ED6">
        <w:rPr>
          <w:rFonts w:ascii="Times New Roman" w:hAnsi="Times New Roman" w:cs="Times New Roman"/>
          <w:bCs/>
          <w:sz w:val="24"/>
          <w:szCs w:val="24"/>
        </w:rPr>
        <w:t xml:space="preserve"> preclude judge asking for corroboration where it would be reasonable.</w:t>
      </w:r>
    </w:p>
    <w:p w14:paraId="33BD1FB5" w14:textId="39AEABB8" w:rsidR="00435816" w:rsidRPr="00CB1296" w:rsidRDefault="00435816" w:rsidP="00403AB3">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sz w:val="24"/>
          <w:szCs w:val="24"/>
        </w:rPr>
        <w:t>“</w:t>
      </w:r>
      <w:r w:rsidR="00C0378E">
        <w:rPr>
          <w:rFonts w:ascii="Times New Roman" w:hAnsi="Times New Roman" w:cs="Times New Roman"/>
          <w:bCs/>
          <w:sz w:val="24"/>
          <w:szCs w:val="24"/>
        </w:rPr>
        <w:t xml:space="preserve">Saying that something may be enough is not the same as saying that it is </w:t>
      </w:r>
      <w:r w:rsidR="00C0378E">
        <w:rPr>
          <w:rFonts w:ascii="Times New Roman" w:hAnsi="Times New Roman" w:cs="Times New Roman"/>
          <w:bCs/>
          <w:i/>
          <w:iCs/>
          <w:sz w:val="24"/>
          <w:szCs w:val="24"/>
        </w:rPr>
        <w:t xml:space="preserve">always </w:t>
      </w:r>
      <w:r w:rsidR="00C0378E">
        <w:rPr>
          <w:rFonts w:ascii="Times New Roman" w:hAnsi="Times New Roman" w:cs="Times New Roman"/>
          <w:bCs/>
          <w:iCs/>
          <w:sz w:val="24"/>
          <w:szCs w:val="24"/>
        </w:rPr>
        <w:t>enough;</w:t>
      </w:r>
      <w:r w:rsidR="000A6163">
        <w:rPr>
          <w:rFonts w:ascii="Times New Roman" w:hAnsi="Times New Roman" w:cs="Times New Roman"/>
          <w:bCs/>
          <w:iCs/>
          <w:sz w:val="24"/>
          <w:szCs w:val="24"/>
        </w:rPr>
        <w:t xml:space="preserve"> </w:t>
      </w:r>
      <w:r w:rsidR="00686208">
        <w:rPr>
          <w:rFonts w:ascii="Times New Roman" w:hAnsi="Times New Roman" w:cs="Times New Roman"/>
          <w:bCs/>
          <w:iCs/>
          <w:sz w:val="24"/>
          <w:szCs w:val="24"/>
        </w:rPr>
        <w:t xml:space="preserve">in fact, the most natural reading of the word ‘may’ in this context is that </w:t>
      </w:r>
      <w:r w:rsidR="00686208" w:rsidRPr="00686208">
        <w:rPr>
          <w:rFonts w:ascii="Times New Roman" w:hAnsi="Times New Roman" w:cs="Times New Roman"/>
          <w:b/>
          <w:iCs/>
          <w:sz w:val="24"/>
          <w:szCs w:val="24"/>
        </w:rPr>
        <w:t>credible testimony is neither per se sufficient nor per se insufficient</w:t>
      </w:r>
      <w:r w:rsidR="00686208">
        <w:rPr>
          <w:rFonts w:ascii="Times New Roman" w:hAnsi="Times New Roman" w:cs="Times New Roman"/>
          <w:bCs/>
          <w:iCs/>
          <w:sz w:val="24"/>
          <w:szCs w:val="24"/>
        </w:rPr>
        <w:t>.”</w:t>
      </w:r>
      <w:r w:rsidR="00686208">
        <w:rPr>
          <w:rFonts w:ascii="Times New Roman" w:hAnsi="Times New Roman" w:cs="Times New Roman"/>
          <w:bCs/>
          <w:iCs/>
          <w:sz w:val="24"/>
          <w:szCs w:val="24"/>
        </w:rPr>
        <w:tab/>
      </w:r>
      <w:r w:rsidR="00686208">
        <w:rPr>
          <w:rFonts w:ascii="Times New Roman" w:hAnsi="Times New Roman" w:cs="Times New Roman"/>
          <w:bCs/>
          <w:iCs/>
          <w:sz w:val="24"/>
          <w:szCs w:val="24"/>
        </w:rPr>
        <w:tab/>
        <w:t>552</w:t>
      </w:r>
    </w:p>
    <w:p w14:paraId="7CFE920C" w14:textId="2C6F089A" w:rsidR="00CB1296" w:rsidRPr="00862B3E" w:rsidRDefault="00CB1296" w:rsidP="00403AB3">
      <w:pPr>
        <w:pStyle w:val="ListParagraph"/>
        <w:numPr>
          <w:ilvl w:val="1"/>
          <w:numId w:val="3"/>
        </w:numPr>
        <w:spacing w:after="0"/>
        <w:rPr>
          <w:rFonts w:ascii="Times New Roman" w:hAnsi="Times New Roman" w:cs="Times New Roman"/>
          <w:bCs/>
          <w:sz w:val="24"/>
          <w:szCs w:val="24"/>
        </w:rPr>
      </w:pPr>
      <w:r>
        <w:rPr>
          <w:rFonts w:ascii="Times New Roman" w:hAnsi="Times New Roman" w:cs="Times New Roman"/>
          <w:bCs/>
          <w:iCs/>
          <w:sz w:val="24"/>
          <w:szCs w:val="24"/>
        </w:rPr>
        <w:t>“In other words, ‘it depends.’ And, according to the BIA, it depends, at least in part, on whether it would be reasonable to expect corroboration. We do not see how this construction is plainly erroneous or inconsistent with the regulation.”</w:t>
      </w:r>
      <w:r>
        <w:rPr>
          <w:rFonts w:ascii="Times New Roman" w:hAnsi="Times New Roman" w:cs="Times New Roman"/>
          <w:bCs/>
          <w:iCs/>
          <w:sz w:val="24"/>
          <w:szCs w:val="24"/>
        </w:rPr>
        <w:tab/>
      </w:r>
      <w:r w:rsidR="0073150E">
        <w:rPr>
          <w:rFonts w:ascii="Times New Roman" w:hAnsi="Times New Roman" w:cs="Times New Roman"/>
          <w:bCs/>
          <w:iCs/>
          <w:sz w:val="24"/>
          <w:szCs w:val="24"/>
        </w:rPr>
        <w:t>552</w:t>
      </w:r>
    </w:p>
    <w:p w14:paraId="3AA9BFAE" w14:textId="58522C6F" w:rsidR="00862B3E" w:rsidRPr="00D84920" w:rsidRDefault="00862B3E" w:rsidP="00862B3E">
      <w:pPr>
        <w:pStyle w:val="ListParagraph"/>
        <w:numPr>
          <w:ilvl w:val="0"/>
          <w:numId w:val="3"/>
        </w:numPr>
        <w:spacing w:after="0"/>
        <w:rPr>
          <w:rFonts w:ascii="Times New Roman" w:hAnsi="Times New Roman" w:cs="Times New Roman"/>
          <w:bCs/>
          <w:sz w:val="24"/>
          <w:szCs w:val="24"/>
        </w:rPr>
      </w:pPr>
      <w:r>
        <w:rPr>
          <w:rFonts w:ascii="Times New Roman" w:hAnsi="Times New Roman" w:cs="Times New Roman"/>
          <w:bCs/>
          <w:iCs/>
          <w:sz w:val="24"/>
          <w:szCs w:val="24"/>
        </w:rPr>
        <w:t xml:space="preserve">“The </w:t>
      </w:r>
      <w:r w:rsidR="00F456E0">
        <w:rPr>
          <w:rFonts w:ascii="Times New Roman" w:hAnsi="Times New Roman" w:cs="Times New Roman"/>
          <w:bCs/>
          <w:iCs/>
          <w:sz w:val="24"/>
          <w:szCs w:val="24"/>
        </w:rPr>
        <w:t xml:space="preserve">availability of judicial review (which is specifically provided in the INA) necessarily contemplates </w:t>
      </w:r>
      <w:r w:rsidR="00F456E0">
        <w:rPr>
          <w:rFonts w:ascii="Times New Roman" w:hAnsi="Times New Roman" w:cs="Times New Roman"/>
          <w:bCs/>
          <w:i/>
          <w:sz w:val="24"/>
          <w:szCs w:val="24"/>
        </w:rPr>
        <w:t>something</w:t>
      </w:r>
      <w:r w:rsidR="00F456E0">
        <w:rPr>
          <w:rFonts w:ascii="Times New Roman" w:hAnsi="Times New Roman" w:cs="Times New Roman"/>
          <w:bCs/>
          <w:iCs/>
          <w:sz w:val="24"/>
          <w:szCs w:val="24"/>
        </w:rPr>
        <w:t xml:space="preserve"> for us to review.”</w:t>
      </w:r>
      <w:r w:rsidR="00F456E0">
        <w:rPr>
          <w:rFonts w:ascii="Times New Roman" w:hAnsi="Times New Roman" w:cs="Times New Roman"/>
          <w:bCs/>
          <w:iCs/>
          <w:sz w:val="24"/>
          <w:szCs w:val="24"/>
        </w:rPr>
        <w:tab/>
      </w:r>
      <w:r w:rsidR="00F456E0">
        <w:rPr>
          <w:rFonts w:ascii="Times New Roman" w:hAnsi="Times New Roman" w:cs="Times New Roman"/>
          <w:bCs/>
          <w:iCs/>
          <w:sz w:val="24"/>
          <w:szCs w:val="24"/>
        </w:rPr>
        <w:tab/>
        <w:t>555</w:t>
      </w:r>
    </w:p>
    <w:p w14:paraId="46D00B83" w14:textId="77777777" w:rsidR="00C87419" w:rsidRPr="00ED7609" w:rsidRDefault="00C87419" w:rsidP="00C87419">
      <w:pPr>
        <w:spacing w:after="0"/>
        <w:rPr>
          <w:rFonts w:ascii="Times New Roman" w:hAnsi="Times New Roman" w:cs="Times New Roman"/>
          <w:b/>
          <w:sz w:val="24"/>
          <w:szCs w:val="24"/>
        </w:rPr>
      </w:pPr>
    </w:p>
    <w:p w14:paraId="5186740D" w14:textId="6738F5C4" w:rsidR="00E16E68" w:rsidRDefault="00E16E68"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Commentary:</w:t>
      </w:r>
    </w:p>
    <w:p w14:paraId="0F393D0B" w14:textId="24E27AA4" w:rsidR="00245407" w:rsidRDefault="001A3A89" w:rsidP="00245407">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REAL ID Act of 2005 modified §</w:t>
      </w:r>
      <w:r w:rsidR="009231E1">
        <w:rPr>
          <w:rFonts w:ascii="Times New Roman" w:hAnsi="Times New Roman" w:cs="Times New Roman"/>
          <w:bCs/>
          <w:sz w:val="24"/>
          <w:szCs w:val="24"/>
        </w:rPr>
        <w:t>1158(b)(</w:t>
      </w:r>
      <w:r w:rsidR="000E3312">
        <w:rPr>
          <w:rFonts w:ascii="Times New Roman" w:hAnsi="Times New Roman" w:cs="Times New Roman"/>
          <w:bCs/>
          <w:sz w:val="24"/>
          <w:szCs w:val="24"/>
        </w:rPr>
        <w:t>1)</w:t>
      </w:r>
      <w:r w:rsidR="000B3CBB">
        <w:rPr>
          <w:rFonts w:ascii="Times New Roman" w:hAnsi="Times New Roman" w:cs="Times New Roman"/>
          <w:bCs/>
          <w:sz w:val="24"/>
          <w:szCs w:val="24"/>
        </w:rPr>
        <w:t>(B)</w:t>
      </w:r>
      <w:r w:rsidR="000E3312">
        <w:rPr>
          <w:rFonts w:ascii="Times New Roman" w:hAnsi="Times New Roman" w:cs="Times New Roman"/>
          <w:bCs/>
          <w:sz w:val="24"/>
          <w:szCs w:val="24"/>
        </w:rPr>
        <w:t xml:space="preserve"> to specify the burden of proof to be carried by asylum applicant and amended </w:t>
      </w:r>
      <w:r w:rsidR="000E3312">
        <w:rPr>
          <w:rFonts w:ascii="Times New Roman" w:hAnsi="Times New Roman" w:cs="Times New Roman"/>
          <w:bCs/>
          <w:sz w:val="24"/>
          <w:szCs w:val="24"/>
        </w:rPr>
        <w:t>§</w:t>
      </w:r>
      <w:r w:rsidR="00383226">
        <w:rPr>
          <w:rFonts w:ascii="Times New Roman" w:hAnsi="Times New Roman" w:cs="Times New Roman"/>
          <w:bCs/>
          <w:sz w:val="24"/>
          <w:szCs w:val="24"/>
        </w:rPr>
        <w:t xml:space="preserve">1252(b)(4) to prohibit a court from reversing a determination made by a trier of fact with respect to the availability of corroborating evidence. </w:t>
      </w:r>
      <w:r w:rsidR="00C34574">
        <w:rPr>
          <w:rFonts w:ascii="Times New Roman" w:hAnsi="Times New Roman" w:cs="Times New Roman"/>
          <w:bCs/>
          <w:sz w:val="24"/>
          <w:szCs w:val="24"/>
        </w:rPr>
        <w:t xml:space="preserve">But the 3d Circuit’s </w:t>
      </w:r>
      <w:proofErr w:type="spellStart"/>
      <w:r w:rsidR="00C34574">
        <w:rPr>
          <w:rFonts w:ascii="Times New Roman" w:hAnsi="Times New Roman" w:cs="Times New Roman"/>
          <w:bCs/>
          <w:i/>
          <w:iCs/>
          <w:sz w:val="24"/>
          <w:szCs w:val="24"/>
        </w:rPr>
        <w:t>Abdulai</w:t>
      </w:r>
      <w:proofErr w:type="spellEnd"/>
      <w:r w:rsidR="00C34574">
        <w:rPr>
          <w:rFonts w:ascii="Times New Roman" w:hAnsi="Times New Roman" w:cs="Times New Roman"/>
          <w:bCs/>
          <w:sz w:val="24"/>
          <w:szCs w:val="24"/>
        </w:rPr>
        <w:t xml:space="preserve"> inquiry still </w:t>
      </w:r>
      <w:r w:rsidR="00B42E18">
        <w:rPr>
          <w:rFonts w:ascii="Times New Roman" w:hAnsi="Times New Roman" w:cs="Times New Roman"/>
          <w:bCs/>
          <w:sz w:val="24"/>
          <w:szCs w:val="24"/>
        </w:rPr>
        <w:t>holds up.</w:t>
      </w:r>
    </w:p>
    <w:p w14:paraId="1F87AFC2" w14:textId="3E6E40C7" w:rsidR="000B3CBB" w:rsidRPr="00245407" w:rsidRDefault="000B3CBB" w:rsidP="000B3CBB">
      <w:pPr>
        <w:pStyle w:val="ListParagraph"/>
        <w:numPr>
          <w:ilvl w:val="1"/>
          <w:numId w:val="2"/>
        </w:numPr>
        <w:spacing w:after="0"/>
        <w:rPr>
          <w:rFonts w:ascii="Times New Roman" w:hAnsi="Times New Roman" w:cs="Times New Roman"/>
          <w:bCs/>
          <w:sz w:val="24"/>
          <w:szCs w:val="24"/>
        </w:rPr>
      </w:pPr>
      <w:r>
        <w:rPr>
          <w:rFonts w:ascii="Times New Roman" w:hAnsi="Times New Roman" w:cs="Times New Roman"/>
          <w:bCs/>
          <w:sz w:val="24"/>
          <w:szCs w:val="24"/>
        </w:rPr>
        <w:t>“</w:t>
      </w:r>
      <w:r w:rsidR="00D961AE" w:rsidRPr="00D961AE">
        <w:rPr>
          <w:rFonts w:ascii="Times New Roman" w:hAnsi="Times New Roman" w:cs="Times New Roman"/>
          <w:b/>
          <w:sz w:val="24"/>
          <w:szCs w:val="24"/>
        </w:rPr>
        <w:t>The testimony of the applicant may be sufficient to sustain the applicant's burden without corroboration</w:t>
      </w:r>
      <w:r w:rsidR="00D961AE" w:rsidRPr="00D961AE">
        <w:rPr>
          <w:rFonts w:ascii="Times New Roman" w:hAnsi="Times New Roman" w:cs="Times New Roman"/>
          <w:bCs/>
          <w:sz w:val="24"/>
          <w:szCs w:val="24"/>
        </w:rPr>
        <w:t xml:space="preserve">, but only if the applicant satisfies the trier of fact that the applicant's testimony is credible, is persuasive, and refers to specific facts sufficient to demonstrate that the applicant is a refugee. In determining whether the applicant has met the applicant's burden, the trier of fact may weigh the credible testimony along with other evidence of record. </w:t>
      </w:r>
      <w:r w:rsidR="00D961AE" w:rsidRPr="00D961AE">
        <w:rPr>
          <w:rFonts w:ascii="Times New Roman" w:hAnsi="Times New Roman" w:cs="Times New Roman"/>
          <w:b/>
          <w:sz w:val="24"/>
          <w:szCs w:val="24"/>
        </w:rPr>
        <w:t>Where the trier of fact determines that the applicant should provide evidence that corroborates otherwise credible testimony, such evidence must be provided unless the applicant does not have the evidence and cannot reasonably obtain the evidence.</w:t>
      </w:r>
      <w:r w:rsidR="00D961AE">
        <w:rPr>
          <w:rFonts w:ascii="Times New Roman" w:hAnsi="Times New Roman" w:cs="Times New Roman"/>
          <w:bCs/>
          <w:sz w:val="24"/>
          <w:szCs w:val="24"/>
        </w:rPr>
        <w:t>”</w:t>
      </w:r>
    </w:p>
    <w:p w14:paraId="2E1F0385" w14:textId="77777777" w:rsidR="00E16E68" w:rsidRPr="00ED7609" w:rsidRDefault="00E16E68" w:rsidP="00C87419">
      <w:pPr>
        <w:spacing w:after="0"/>
        <w:rPr>
          <w:rFonts w:ascii="Times New Roman" w:hAnsi="Times New Roman" w:cs="Times New Roman"/>
          <w:b/>
          <w:sz w:val="24"/>
          <w:szCs w:val="24"/>
        </w:rPr>
      </w:pPr>
    </w:p>
    <w:sectPr w:rsidR="00E16E68"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668267" w14:textId="77777777" w:rsidR="004A3B37" w:rsidRDefault="004A3B37" w:rsidP="00E16E68">
      <w:pPr>
        <w:spacing w:after="0" w:line="240" w:lineRule="auto"/>
      </w:pPr>
      <w:r>
        <w:separator/>
      </w:r>
    </w:p>
  </w:endnote>
  <w:endnote w:type="continuationSeparator" w:id="0">
    <w:p w14:paraId="1882BDD6" w14:textId="77777777" w:rsidR="004A3B37" w:rsidRDefault="004A3B37" w:rsidP="00E16E68">
      <w:pPr>
        <w:spacing w:after="0" w:line="240" w:lineRule="auto"/>
      </w:pPr>
      <w:r>
        <w:continuationSeparator/>
      </w:r>
    </w:p>
  </w:endnote>
  <w:endnote w:type="continuationNotice" w:id="1">
    <w:p w14:paraId="6A77E177" w14:textId="77777777" w:rsidR="004A3B37" w:rsidRDefault="004A3B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94099F" w14:textId="77777777" w:rsidR="004A3B37" w:rsidRDefault="004A3B37" w:rsidP="00E16E68">
      <w:pPr>
        <w:spacing w:after="0" w:line="240" w:lineRule="auto"/>
      </w:pPr>
      <w:r>
        <w:separator/>
      </w:r>
    </w:p>
  </w:footnote>
  <w:footnote w:type="continuationSeparator" w:id="0">
    <w:p w14:paraId="1985FE5D" w14:textId="77777777" w:rsidR="004A3B37" w:rsidRDefault="004A3B37" w:rsidP="00E16E68">
      <w:pPr>
        <w:spacing w:after="0" w:line="240" w:lineRule="auto"/>
      </w:pPr>
      <w:r>
        <w:continuationSeparator/>
      </w:r>
    </w:p>
  </w:footnote>
  <w:footnote w:type="continuationNotice" w:id="1">
    <w:p w14:paraId="6525ADAB" w14:textId="77777777" w:rsidR="004A3B37" w:rsidRDefault="004A3B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5AAC6EE5" w:rsidR="00E16E68" w:rsidRDefault="00231BDE" w:rsidP="00757CDB">
    <w:pPr>
      <w:pStyle w:val="Header"/>
      <w:jc w:val="right"/>
    </w:pPr>
    <w:r>
      <w:t xml:space="preserve">Third </w:t>
    </w:r>
    <w:r w:rsidR="006C420B">
      <w:t>Circuit</w:t>
    </w:r>
    <w:r w:rsidR="0016476D">
      <w:t xml:space="preserve"> Court</w:t>
    </w:r>
    <w:r w:rsidR="00E16E68">
      <w:tab/>
    </w:r>
    <w:r>
      <w:t>2001</w:t>
    </w:r>
    <w:r w:rsidR="00E16E68">
      <w:tab/>
    </w:r>
    <w:proofErr w:type="spellStart"/>
    <w:r>
      <w:t>Abdulai</w:t>
    </w:r>
    <w:proofErr w:type="spellEnd"/>
    <w:r>
      <w:t xml:space="preserve"> v. Ashcroft</w:t>
    </w:r>
  </w:p>
  <w:p w14:paraId="4CE88CBF" w14:textId="3D837D65" w:rsidR="00552EC4" w:rsidRDefault="00552EC4" w:rsidP="00552EC4">
    <w:pPr>
      <w:pStyle w:val="Header"/>
      <w:jc w:val="right"/>
    </w:pPr>
    <w:r>
      <w:tab/>
    </w:r>
    <w:r>
      <w:tab/>
    </w:r>
    <w:r w:rsidR="002139C8">
      <w:t xml:space="preserve">CORROBORATING EVIDENCE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EB3207"/>
    <w:multiLevelType w:val="hybridMultilevel"/>
    <w:tmpl w:val="EF30C722"/>
    <w:lvl w:ilvl="0" w:tplc="A52E8196">
      <w:start w:val="2"/>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CF2DBE"/>
    <w:multiLevelType w:val="hybridMultilevel"/>
    <w:tmpl w:val="36968870"/>
    <w:lvl w:ilvl="0" w:tplc="B08C5932">
      <w:start w:val="2"/>
      <w:numFmt w:val="bullet"/>
      <w:lvlText w:val=""/>
      <w:lvlJc w:val="left"/>
      <w:pPr>
        <w:ind w:left="720" w:hanging="360"/>
      </w:pPr>
      <w:rPr>
        <w:rFonts w:ascii="Symbol" w:eastAsiaTheme="minorHAnsi"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670A6B"/>
    <w:multiLevelType w:val="hybridMultilevel"/>
    <w:tmpl w:val="DC065EFE"/>
    <w:lvl w:ilvl="0" w:tplc="EFC8645E">
      <w:start w:val="2"/>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54BBC"/>
    <w:rsid w:val="00060D0E"/>
    <w:rsid w:val="000A6163"/>
    <w:rsid w:val="000B3CBB"/>
    <w:rsid w:val="000B6F01"/>
    <w:rsid w:val="000E3312"/>
    <w:rsid w:val="00122B02"/>
    <w:rsid w:val="00142779"/>
    <w:rsid w:val="00144D3B"/>
    <w:rsid w:val="001600C5"/>
    <w:rsid w:val="0016476D"/>
    <w:rsid w:val="001A3A89"/>
    <w:rsid w:val="001A4BF5"/>
    <w:rsid w:val="001B0867"/>
    <w:rsid w:val="001E4607"/>
    <w:rsid w:val="002139C8"/>
    <w:rsid w:val="00231BDE"/>
    <w:rsid w:val="00245407"/>
    <w:rsid w:val="0026775C"/>
    <w:rsid w:val="003807D8"/>
    <w:rsid w:val="00383226"/>
    <w:rsid w:val="0039782C"/>
    <w:rsid w:val="003F189F"/>
    <w:rsid w:val="00403AB3"/>
    <w:rsid w:val="00434206"/>
    <w:rsid w:val="00435816"/>
    <w:rsid w:val="00444E7F"/>
    <w:rsid w:val="00457D27"/>
    <w:rsid w:val="004A3B37"/>
    <w:rsid w:val="005046B1"/>
    <w:rsid w:val="0051275F"/>
    <w:rsid w:val="00552EC4"/>
    <w:rsid w:val="00553D7D"/>
    <w:rsid w:val="005C70E8"/>
    <w:rsid w:val="00606F71"/>
    <w:rsid w:val="00686208"/>
    <w:rsid w:val="006B7C47"/>
    <w:rsid w:val="006C420B"/>
    <w:rsid w:val="0073150E"/>
    <w:rsid w:val="00757CDB"/>
    <w:rsid w:val="007613B3"/>
    <w:rsid w:val="007B49D0"/>
    <w:rsid w:val="007D1AC2"/>
    <w:rsid w:val="007E59FA"/>
    <w:rsid w:val="007F7A38"/>
    <w:rsid w:val="00813D2C"/>
    <w:rsid w:val="00862B3E"/>
    <w:rsid w:val="008A41F9"/>
    <w:rsid w:val="008B2748"/>
    <w:rsid w:val="008C70B7"/>
    <w:rsid w:val="008E5B66"/>
    <w:rsid w:val="009231E1"/>
    <w:rsid w:val="00946E12"/>
    <w:rsid w:val="00956ED6"/>
    <w:rsid w:val="009809CA"/>
    <w:rsid w:val="00982569"/>
    <w:rsid w:val="009917BC"/>
    <w:rsid w:val="00A26365"/>
    <w:rsid w:val="00A43B0A"/>
    <w:rsid w:val="00A45FA5"/>
    <w:rsid w:val="00A56633"/>
    <w:rsid w:val="00A65C5C"/>
    <w:rsid w:val="00A71E2C"/>
    <w:rsid w:val="00AA6169"/>
    <w:rsid w:val="00AC230B"/>
    <w:rsid w:val="00B330E3"/>
    <w:rsid w:val="00B42E18"/>
    <w:rsid w:val="00B564E2"/>
    <w:rsid w:val="00B667F9"/>
    <w:rsid w:val="00B778D1"/>
    <w:rsid w:val="00B95472"/>
    <w:rsid w:val="00BE248C"/>
    <w:rsid w:val="00BF56C4"/>
    <w:rsid w:val="00C0378E"/>
    <w:rsid w:val="00C34574"/>
    <w:rsid w:val="00C47189"/>
    <w:rsid w:val="00C76C4E"/>
    <w:rsid w:val="00C77528"/>
    <w:rsid w:val="00C87419"/>
    <w:rsid w:val="00CB1296"/>
    <w:rsid w:val="00CC00C9"/>
    <w:rsid w:val="00CC3AFE"/>
    <w:rsid w:val="00CC7EEE"/>
    <w:rsid w:val="00CD6DF7"/>
    <w:rsid w:val="00D01DE6"/>
    <w:rsid w:val="00D20D97"/>
    <w:rsid w:val="00D47EB9"/>
    <w:rsid w:val="00D62F1C"/>
    <w:rsid w:val="00D66735"/>
    <w:rsid w:val="00D84920"/>
    <w:rsid w:val="00D961AE"/>
    <w:rsid w:val="00E16E68"/>
    <w:rsid w:val="00E2134E"/>
    <w:rsid w:val="00EB6496"/>
    <w:rsid w:val="00ED7609"/>
    <w:rsid w:val="00EE24CF"/>
    <w:rsid w:val="00F10D22"/>
    <w:rsid w:val="00F456E0"/>
    <w:rsid w:val="00F52BAD"/>
    <w:rsid w:val="00F800B2"/>
    <w:rsid w:val="00FF1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59</cp:revision>
  <dcterms:created xsi:type="dcterms:W3CDTF">2021-06-15T14:50:00Z</dcterms:created>
  <dcterms:modified xsi:type="dcterms:W3CDTF">2021-06-15T16:03:00Z</dcterms:modified>
</cp:coreProperties>
</file>