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6A9794CF" w:rsidR="00E16E68" w:rsidRPr="00ED7609" w:rsidRDefault="00952A71"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0CB13FC6" w:rsidR="00757CDB" w:rsidRPr="003A36E0"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952A71">
        <w:rPr>
          <w:rFonts w:ascii="Times New Roman" w:hAnsi="Times New Roman" w:cs="Times New Roman"/>
          <w:bCs/>
          <w:i/>
          <w:iCs/>
          <w:sz w:val="24"/>
          <w:szCs w:val="24"/>
        </w:rPr>
        <w:t>Gao v. Ashcroft</w:t>
      </w:r>
      <w:r w:rsidR="00952A71">
        <w:rPr>
          <w:rFonts w:ascii="Times New Roman" w:hAnsi="Times New Roman" w:cs="Times New Roman"/>
          <w:bCs/>
          <w:sz w:val="24"/>
          <w:szCs w:val="24"/>
        </w:rPr>
        <w:t xml:space="preserve">, 299 F.3d 266 (3d Cir. 2002) </w:t>
      </w:r>
      <w:r w:rsidR="0051105B" w:rsidRPr="003D0D17">
        <w:rPr>
          <w:rFonts w:ascii="Times New Roman" w:hAnsi="Times New Roman" w:cs="Times New Roman"/>
          <w:bCs/>
          <w:i/>
          <w:iCs/>
          <w:color w:val="C00000"/>
          <w:sz w:val="24"/>
          <w:szCs w:val="24"/>
        </w:rPr>
        <w:t xml:space="preserve">superseded by </w:t>
      </w:r>
      <w:r w:rsidR="003D0D17">
        <w:rPr>
          <w:rFonts w:ascii="Times New Roman" w:hAnsi="Times New Roman" w:cs="Times New Roman"/>
          <w:bCs/>
          <w:i/>
          <w:iCs/>
          <w:color w:val="C00000"/>
          <w:sz w:val="24"/>
          <w:szCs w:val="24"/>
        </w:rPr>
        <w:t xml:space="preserve">statute </w:t>
      </w:r>
      <w:r w:rsidR="003D0D17" w:rsidRPr="003D0D17">
        <w:rPr>
          <w:rFonts w:ascii="Times New Roman" w:hAnsi="Times New Roman" w:cs="Times New Roman"/>
          <w:bCs/>
          <w:color w:val="C00000"/>
          <w:sz w:val="24"/>
          <w:szCs w:val="24"/>
        </w:rPr>
        <w:t>(REAL ID Act 2005)</w:t>
      </w:r>
      <w:r w:rsidR="003A36E0">
        <w:rPr>
          <w:rFonts w:ascii="Times New Roman" w:hAnsi="Times New Roman" w:cs="Times New Roman"/>
          <w:bCs/>
          <w:color w:val="C00000"/>
          <w:sz w:val="24"/>
          <w:szCs w:val="24"/>
        </w:rPr>
        <w:t xml:space="preserve"> </w:t>
      </w:r>
      <w:r w:rsidR="003A36E0">
        <w:rPr>
          <w:rFonts w:ascii="Times New Roman" w:hAnsi="Times New Roman" w:cs="Times New Roman"/>
          <w:bCs/>
          <w:i/>
          <w:iCs/>
          <w:color w:val="C00000"/>
          <w:sz w:val="24"/>
          <w:szCs w:val="24"/>
        </w:rPr>
        <w:t>as confirmed by Sunuwar v. A.G.</w:t>
      </w:r>
      <w:r w:rsidR="003A36E0">
        <w:rPr>
          <w:rFonts w:ascii="Times New Roman" w:hAnsi="Times New Roman" w:cs="Times New Roman"/>
          <w:bCs/>
          <w:color w:val="C00000"/>
          <w:sz w:val="24"/>
          <w:szCs w:val="24"/>
        </w:rPr>
        <w:t xml:space="preserve">, 989 </w:t>
      </w:r>
      <w:r w:rsidR="0099747E">
        <w:rPr>
          <w:rFonts w:ascii="Times New Roman" w:hAnsi="Times New Roman" w:cs="Times New Roman"/>
          <w:bCs/>
          <w:color w:val="C00000"/>
          <w:sz w:val="24"/>
          <w:szCs w:val="24"/>
        </w:rPr>
        <w:t>F</w:t>
      </w:r>
      <w:r w:rsidR="003A36E0">
        <w:rPr>
          <w:rFonts w:ascii="Times New Roman" w:hAnsi="Times New Roman" w:cs="Times New Roman"/>
          <w:bCs/>
          <w:color w:val="C00000"/>
          <w:sz w:val="24"/>
          <w:szCs w:val="24"/>
        </w:rPr>
        <w:t>.3d 239 (</w:t>
      </w:r>
      <w:r w:rsidR="0099747E">
        <w:rPr>
          <w:rFonts w:ascii="Times New Roman" w:hAnsi="Times New Roman" w:cs="Times New Roman"/>
          <w:bCs/>
          <w:color w:val="C00000"/>
          <w:sz w:val="24"/>
          <w:szCs w:val="24"/>
        </w:rPr>
        <w:t>3d Cir. February 25, 2021)</w:t>
      </w:r>
    </w:p>
    <w:p w14:paraId="43DC1B18" w14:textId="08FE6CF5"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51105B">
        <w:rPr>
          <w:rFonts w:ascii="Times New Roman" w:hAnsi="Times New Roman" w:cs="Times New Roman"/>
          <w:bCs/>
          <w:sz w:val="24"/>
          <w:szCs w:val="24"/>
        </w:rPr>
        <w:t>August 7, 2002</w:t>
      </w:r>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51105B">
        <w:rPr>
          <w:rFonts w:ascii="Times New Roman" w:hAnsi="Times New Roman" w:cs="Times New Roman"/>
          <w:sz w:val="24"/>
          <w:szCs w:val="24"/>
        </w:rPr>
        <w:t>Becker, Greenberg, Barzilay</w:t>
      </w:r>
    </w:p>
    <w:p w14:paraId="6E08417B" w14:textId="77777777" w:rsidR="00C87419" w:rsidRPr="00ED7609" w:rsidRDefault="00C87419" w:rsidP="00C87419">
      <w:pPr>
        <w:spacing w:after="0"/>
        <w:rPr>
          <w:rFonts w:ascii="Times New Roman" w:hAnsi="Times New Roman" w:cs="Times New Roman"/>
          <w:b/>
          <w:sz w:val="24"/>
          <w:szCs w:val="24"/>
        </w:rPr>
      </w:pPr>
    </w:p>
    <w:p w14:paraId="4DC4FCC0" w14:textId="4CAD3134" w:rsidR="00E16E68" w:rsidRPr="00B4334B" w:rsidRDefault="008E5B66"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3E3731">
        <w:rPr>
          <w:rFonts w:ascii="Times New Roman" w:hAnsi="Times New Roman" w:cs="Times New Roman"/>
          <w:bCs/>
          <w:sz w:val="24"/>
          <w:szCs w:val="24"/>
        </w:rPr>
        <w:t xml:space="preserve"> Barzilay</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Pr="00ED7609">
        <w:rPr>
          <w:rFonts w:ascii="Times New Roman" w:hAnsi="Times New Roman" w:cs="Times New Roman"/>
          <w:b/>
          <w:sz w:val="24"/>
          <w:szCs w:val="24"/>
        </w:rPr>
        <w:t>Dissen</w:t>
      </w:r>
      <w:r w:rsidR="00757CDB" w:rsidRPr="00ED7609">
        <w:rPr>
          <w:rFonts w:ascii="Times New Roman" w:hAnsi="Times New Roman" w:cs="Times New Roman"/>
          <w:b/>
          <w:sz w:val="24"/>
          <w:szCs w:val="24"/>
        </w:rPr>
        <w:t xml:space="preserve">ts: </w:t>
      </w:r>
      <w:r w:rsidR="00B4334B">
        <w:rPr>
          <w:rFonts w:ascii="Times New Roman" w:hAnsi="Times New Roman" w:cs="Times New Roman"/>
          <w:bCs/>
          <w:sz w:val="24"/>
          <w:szCs w:val="24"/>
        </w:rPr>
        <w:t>Greenberg</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44C2E76B"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3E3731">
        <w:rPr>
          <w:rFonts w:ascii="Times New Roman" w:hAnsi="Times New Roman" w:cs="Times New Roman"/>
          <w:sz w:val="24"/>
          <w:szCs w:val="24"/>
        </w:rPr>
        <w:t>Immigration, asylum, Falun Gong</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055C46D7"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227C71">
        <w:rPr>
          <w:rFonts w:ascii="Times New Roman" w:hAnsi="Times New Roman" w:cs="Times New Roman"/>
          <w:sz w:val="24"/>
          <w:szCs w:val="24"/>
        </w:rPr>
        <w:t>Did the IJ properly consider documentary evidence to support respondent’s asylum claim?</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73DF6792"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2051BF">
        <w:rPr>
          <w:rFonts w:ascii="Times New Roman" w:hAnsi="Times New Roman" w:cs="Times New Roman"/>
          <w:sz w:val="24"/>
          <w:szCs w:val="24"/>
        </w:rPr>
        <w:t>IJ’s conclusion was improper</w:t>
      </w:r>
      <w:r w:rsidR="0035709D">
        <w:rPr>
          <w:rFonts w:ascii="Times New Roman" w:hAnsi="Times New Roman" w:cs="Times New Roman"/>
          <w:sz w:val="24"/>
          <w:szCs w:val="24"/>
        </w:rPr>
        <w:t>, and he failed to consider important documentary evidence that supported her claim.</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22BBA572" w:rsidR="00A65C5C" w:rsidRPr="002051BF"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2051BF">
        <w:rPr>
          <w:rFonts w:ascii="Times New Roman" w:hAnsi="Times New Roman" w:cs="Times New Roman"/>
          <w:bCs/>
          <w:sz w:val="24"/>
          <w:szCs w:val="24"/>
        </w:rPr>
        <w:t xml:space="preserve"> </w:t>
      </w:r>
      <w:r w:rsidR="0035709D">
        <w:rPr>
          <w:rFonts w:ascii="Times New Roman" w:hAnsi="Times New Roman" w:cs="Times New Roman"/>
          <w:bCs/>
          <w:sz w:val="24"/>
          <w:szCs w:val="24"/>
        </w:rPr>
        <w:t>There are no significant inconsistencies in her story</w:t>
      </w:r>
      <w:r w:rsidR="00DF5488">
        <w:rPr>
          <w:rFonts w:ascii="Times New Roman" w:hAnsi="Times New Roman" w:cs="Times New Roman"/>
          <w:bCs/>
          <w:sz w:val="24"/>
          <w:szCs w:val="24"/>
        </w:rPr>
        <w:t>, and the denial of this application without proper review of the evidence is especially troubling given DOS’s country conditions report re. the treatment of Falun Gong members in China.</w:t>
      </w:r>
      <w:r w:rsidR="0035709D">
        <w:rPr>
          <w:rFonts w:ascii="Times New Roman" w:hAnsi="Times New Roman" w:cs="Times New Roman"/>
          <w:bCs/>
          <w:sz w:val="24"/>
          <w:szCs w:val="24"/>
        </w:rPr>
        <w:t xml:space="preserve"> </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5C25062E" w:rsidR="008E5B66" w:rsidRPr="000005F0"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0005F0">
        <w:rPr>
          <w:rFonts w:ascii="Times New Roman" w:hAnsi="Times New Roman" w:cs="Times New Roman"/>
          <w:bCs/>
          <w:sz w:val="24"/>
          <w:szCs w:val="24"/>
        </w:rPr>
        <w:t xml:space="preserve"> 18-year-old Chinese citizen escaped to U.S. after being expelled from school, beaten, and imprisoned in a labor camp</w:t>
      </w:r>
      <w:r w:rsidR="00BF0628">
        <w:rPr>
          <w:rFonts w:ascii="Times New Roman" w:hAnsi="Times New Roman" w:cs="Times New Roman"/>
          <w:bCs/>
          <w:sz w:val="24"/>
          <w:szCs w:val="24"/>
        </w:rPr>
        <w:t xml:space="preserve"> for participating in Falun Gong</w:t>
      </w:r>
      <w:r w:rsidR="0091656D">
        <w:rPr>
          <w:rFonts w:ascii="Times New Roman" w:hAnsi="Times New Roman" w:cs="Times New Roman"/>
          <w:bCs/>
          <w:sz w:val="24"/>
          <w:szCs w:val="24"/>
        </w:rPr>
        <w:t xml:space="preserve"> as a messenger</w:t>
      </w:r>
      <w:r w:rsidR="00BF0628">
        <w:rPr>
          <w:rFonts w:ascii="Times New Roman" w:hAnsi="Times New Roman" w:cs="Times New Roman"/>
          <w:bCs/>
          <w:sz w:val="24"/>
          <w:szCs w:val="24"/>
        </w:rPr>
        <w:t>.</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2A72FD85"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4AF2C4B2" w14:textId="11C1F731" w:rsidR="00DF5488" w:rsidRPr="00DF5488" w:rsidRDefault="00DF5488" w:rsidP="005D1675">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2000:</w:t>
      </w:r>
      <w:r>
        <w:rPr>
          <w:rFonts w:ascii="Times New Roman" w:hAnsi="Times New Roman" w:cs="Times New Roman"/>
          <w:sz w:val="24"/>
          <w:szCs w:val="24"/>
        </w:rPr>
        <w:t xml:space="preserve"> </w:t>
      </w:r>
      <w:r w:rsidR="001D26F1">
        <w:rPr>
          <w:rFonts w:ascii="Times New Roman" w:hAnsi="Times New Roman" w:cs="Times New Roman"/>
          <w:sz w:val="24"/>
          <w:szCs w:val="24"/>
        </w:rPr>
        <w:t>Entered without visa</w:t>
      </w:r>
      <w:r w:rsidR="00183040">
        <w:rPr>
          <w:rFonts w:ascii="Times New Roman" w:hAnsi="Times New Roman" w:cs="Times New Roman"/>
          <w:sz w:val="24"/>
          <w:szCs w:val="24"/>
        </w:rPr>
        <w:t>,</w:t>
      </w:r>
      <w:r w:rsidR="001D26F1">
        <w:rPr>
          <w:rFonts w:ascii="Times New Roman" w:hAnsi="Times New Roman" w:cs="Times New Roman"/>
          <w:sz w:val="24"/>
          <w:szCs w:val="24"/>
        </w:rPr>
        <w:t xml:space="preserve"> served</w:t>
      </w:r>
      <w:r w:rsidR="00183040">
        <w:rPr>
          <w:rFonts w:ascii="Times New Roman" w:hAnsi="Times New Roman" w:cs="Times New Roman"/>
          <w:sz w:val="24"/>
          <w:szCs w:val="24"/>
        </w:rPr>
        <w:t xml:space="preserve"> NTA</w:t>
      </w:r>
    </w:p>
    <w:p w14:paraId="18749403" w14:textId="71019C6E" w:rsidR="00BF0628" w:rsidRDefault="00B6711B" w:rsidP="005D1675">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 xml:space="preserve">2001: </w:t>
      </w:r>
      <w:r w:rsidR="005D1675">
        <w:rPr>
          <w:rFonts w:ascii="Times New Roman" w:hAnsi="Times New Roman" w:cs="Times New Roman"/>
          <w:b/>
          <w:bCs/>
          <w:sz w:val="24"/>
          <w:szCs w:val="24"/>
        </w:rPr>
        <w:t>IJ</w:t>
      </w:r>
      <w:r w:rsidR="005D1675">
        <w:rPr>
          <w:rFonts w:ascii="Times New Roman" w:hAnsi="Times New Roman" w:cs="Times New Roman"/>
          <w:sz w:val="24"/>
          <w:szCs w:val="24"/>
        </w:rPr>
        <w:t xml:space="preserve"> denied asylum application because she lacked credibility based on inconsistencies in her story</w:t>
      </w:r>
    </w:p>
    <w:p w14:paraId="3720A3C6" w14:textId="331F905C" w:rsidR="005D1675" w:rsidRPr="005D1675" w:rsidRDefault="005D1675" w:rsidP="005D1675">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w:t>
      </w:r>
      <w:r w:rsidR="0091656D">
        <w:rPr>
          <w:rFonts w:ascii="Times New Roman" w:hAnsi="Times New Roman" w:cs="Times New Roman"/>
          <w:sz w:val="24"/>
          <w:szCs w:val="24"/>
        </w:rPr>
        <w:t>affirmed</w:t>
      </w:r>
    </w:p>
    <w:p w14:paraId="156B1D22" w14:textId="77777777" w:rsidR="009917BC" w:rsidRPr="00ED7609" w:rsidRDefault="009917BC" w:rsidP="008E5B66">
      <w:pPr>
        <w:spacing w:after="0"/>
        <w:rPr>
          <w:rFonts w:ascii="Times New Roman" w:hAnsi="Times New Roman" w:cs="Times New Roman"/>
          <w:b/>
          <w:sz w:val="24"/>
          <w:szCs w:val="24"/>
        </w:rPr>
      </w:pPr>
    </w:p>
    <w:p w14:paraId="52875252" w14:textId="5B04CC69"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Appeals to Statute &amp; Precedent:</w:t>
      </w:r>
    </w:p>
    <w:p w14:paraId="6222CC0F" w14:textId="0AE05D7D" w:rsidR="00816FB9" w:rsidRPr="00CE109B" w:rsidRDefault="00362842" w:rsidP="00362842">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Abdille v. Ashcroft</w:t>
      </w:r>
      <w:r>
        <w:rPr>
          <w:rFonts w:ascii="Times New Roman" w:hAnsi="Times New Roman" w:cs="Times New Roman"/>
          <w:b/>
          <w:sz w:val="24"/>
          <w:szCs w:val="24"/>
        </w:rPr>
        <w:t>, 242 F.3d 477 (3d Cir. 2001):</w:t>
      </w:r>
      <w:r>
        <w:rPr>
          <w:rFonts w:ascii="Times New Roman" w:hAnsi="Times New Roman" w:cs="Times New Roman"/>
          <w:bCs/>
          <w:sz w:val="24"/>
          <w:szCs w:val="24"/>
        </w:rPr>
        <w:t xml:space="preserve"> </w:t>
      </w:r>
      <w:r w:rsidR="00CE109B">
        <w:rPr>
          <w:rFonts w:ascii="Times New Roman" w:hAnsi="Times New Roman" w:cs="Times New Roman"/>
          <w:bCs/>
          <w:sz w:val="24"/>
          <w:szCs w:val="24"/>
        </w:rPr>
        <w:t>“Aliens have the burden of supporting their asylum claims through credible testimony.”   272</w:t>
      </w:r>
    </w:p>
    <w:p w14:paraId="5C6F290C" w14:textId="3945569B" w:rsidR="00CE109B" w:rsidRPr="004C5D3E" w:rsidRDefault="004C5D3E" w:rsidP="00362842">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Chand v.</w:t>
      </w:r>
      <w:r>
        <w:rPr>
          <w:rFonts w:ascii="Times New Roman" w:hAnsi="Times New Roman" w:cs="Times New Roman"/>
          <w:b/>
          <w:sz w:val="24"/>
          <w:szCs w:val="24"/>
        </w:rPr>
        <w:t xml:space="preserve"> </w:t>
      </w:r>
      <w:r>
        <w:rPr>
          <w:rFonts w:ascii="Times New Roman" w:hAnsi="Times New Roman" w:cs="Times New Roman"/>
          <w:b/>
          <w:i/>
          <w:iCs/>
          <w:sz w:val="24"/>
          <w:szCs w:val="24"/>
        </w:rPr>
        <w:t>INS</w:t>
      </w:r>
      <w:r>
        <w:rPr>
          <w:rFonts w:ascii="Times New Roman" w:hAnsi="Times New Roman" w:cs="Times New Roman"/>
          <w:b/>
          <w:sz w:val="24"/>
          <w:szCs w:val="24"/>
        </w:rPr>
        <w:t>, 222 F.3d 1066 (9th Cir. 2000):</w:t>
      </w:r>
      <w:r>
        <w:rPr>
          <w:rFonts w:ascii="Times New Roman" w:hAnsi="Times New Roman" w:cs="Times New Roman"/>
          <w:bCs/>
          <w:sz w:val="24"/>
          <w:szCs w:val="24"/>
        </w:rPr>
        <w:t xml:space="preserve"> Testimony by itself is sufficient to meet this burden, if credible.</w:t>
      </w:r>
    </w:p>
    <w:p w14:paraId="34183826" w14:textId="6E1E1C67" w:rsidR="004C5D3E" w:rsidRPr="00200F4F" w:rsidRDefault="00FC3237" w:rsidP="00362842">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Ceballos-Castillo v. INS</w:t>
      </w:r>
      <w:r>
        <w:rPr>
          <w:rFonts w:ascii="Times New Roman" w:hAnsi="Times New Roman" w:cs="Times New Roman"/>
          <w:b/>
          <w:sz w:val="24"/>
          <w:szCs w:val="24"/>
        </w:rPr>
        <w:t>, 904 F.2d 519 (9th Cir. 1990):</w:t>
      </w:r>
      <w:r>
        <w:rPr>
          <w:rFonts w:ascii="Times New Roman" w:hAnsi="Times New Roman" w:cs="Times New Roman"/>
          <w:bCs/>
          <w:sz w:val="24"/>
          <w:szCs w:val="24"/>
        </w:rPr>
        <w:t xml:space="preserve"> </w:t>
      </w:r>
      <w:r w:rsidR="00DC66CF">
        <w:rPr>
          <w:rFonts w:ascii="Times New Roman" w:hAnsi="Times New Roman" w:cs="Times New Roman"/>
          <w:bCs/>
          <w:sz w:val="24"/>
          <w:szCs w:val="24"/>
        </w:rPr>
        <w:t>Discrepancies in testimony must involve the heart of the asylum claim in order to be the basis for an adverse credibility determination.</w:t>
      </w:r>
    </w:p>
    <w:p w14:paraId="14347C14" w14:textId="59B9A576" w:rsidR="00200F4F" w:rsidRPr="00362842" w:rsidRDefault="00200F4F" w:rsidP="00362842">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Senathirajah v. INS</w:t>
      </w:r>
      <w:r>
        <w:rPr>
          <w:rFonts w:ascii="Times New Roman" w:hAnsi="Times New Roman" w:cs="Times New Roman"/>
          <w:b/>
          <w:sz w:val="24"/>
          <w:szCs w:val="24"/>
        </w:rPr>
        <w:t>, 157 F.3d 210 (3d Cir. 1998):</w:t>
      </w:r>
      <w:r>
        <w:rPr>
          <w:rFonts w:ascii="Times New Roman" w:hAnsi="Times New Roman" w:cs="Times New Roman"/>
          <w:bCs/>
          <w:sz w:val="24"/>
          <w:szCs w:val="24"/>
        </w:rPr>
        <w:t xml:space="preserve"> </w:t>
      </w:r>
      <w:r w:rsidR="00784691">
        <w:rPr>
          <w:rFonts w:ascii="Times New Roman" w:hAnsi="Times New Roman" w:cs="Times New Roman"/>
          <w:bCs/>
          <w:sz w:val="24"/>
          <w:szCs w:val="24"/>
        </w:rPr>
        <w:t>corroboration not required to establish credibility.</w:t>
      </w:r>
    </w:p>
    <w:p w14:paraId="11DA38CD" w14:textId="77777777" w:rsidR="00A65C5C" w:rsidRPr="00ED7609" w:rsidRDefault="00A65C5C" w:rsidP="00C87419">
      <w:pPr>
        <w:spacing w:after="0"/>
        <w:rPr>
          <w:rFonts w:ascii="Times New Roman" w:hAnsi="Times New Roman" w:cs="Times New Roman"/>
          <w:b/>
          <w:sz w:val="24"/>
          <w:szCs w:val="24"/>
        </w:rPr>
      </w:pPr>
    </w:p>
    <w:p w14:paraId="7BC1B9C1" w14:textId="3AB05306" w:rsidR="009917BC" w:rsidRDefault="009917BC"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Relevant History:</w:t>
      </w:r>
    </w:p>
    <w:p w14:paraId="196DE573" w14:textId="1BB1FE3B" w:rsidR="00E46E2E" w:rsidRPr="00E46E2E" w:rsidRDefault="00E46E2E" w:rsidP="00E46E2E">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 xml:space="preserve">1998: </w:t>
      </w:r>
      <w:r>
        <w:rPr>
          <w:rFonts w:ascii="Times New Roman" w:hAnsi="Times New Roman" w:cs="Times New Roman"/>
          <w:bCs/>
          <w:sz w:val="24"/>
          <w:szCs w:val="24"/>
        </w:rPr>
        <w:t>Chines</w:t>
      </w:r>
      <w:r w:rsidR="000005F0">
        <w:rPr>
          <w:rFonts w:ascii="Times New Roman" w:hAnsi="Times New Roman" w:cs="Times New Roman"/>
          <w:bCs/>
          <w:sz w:val="24"/>
          <w:szCs w:val="24"/>
        </w:rPr>
        <w:t>e government’s brutal</w:t>
      </w:r>
      <w:r>
        <w:rPr>
          <w:rFonts w:ascii="Times New Roman" w:hAnsi="Times New Roman" w:cs="Times New Roman"/>
          <w:bCs/>
          <w:sz w:val="24"/>
          <w:szCs w:val="24"/>
        </w:rPr>
        <w:t xml:space="preserve"> crackdown on Falun Gong</w:t>
      </w:r>
    </w:p>
    <w:p w14:paraId="52002489" w14:textId="5C2A8576" w:rsidR="009917BC" w:rsidRDefault="009917BC" w:rsidP="00C87419">
      <w:pPr>
        <w:spacing w:after="0"/>
        <w:rPr>
          <w:rFonts w:ascii="Times New Roman" w:hAnsi="Times New Roman" w:cs="Times New Roman"/>
          <w:b/>
          <w:sz w:val="24"/>
          <w:szCs w:val="24"/>
        </w:rPr>
      </w:pPr>
    </w:p>
    <w:p w14:paraId="664EDB21" w14:textId="7A3963F7" w:rsidR="00A139BA" w:rsidRDefault="00A139BA" w:rsidP="00C87419">
      <w:pPr>
        <w:spacing w:after="0"/>
        <w:rPr>
          <w:rFonts w:ascii="Times New Roman" w:hAnsi="Times New Roman" w:cs="Times New Roman"/>
          <w:b/>
          <w:sz w:val="24"/>
          <w:szCs w:val="24"/>
        </w:rPr>
      </w:pPr>
    </w:p>
    <w:p w14:paraId="06BCF8EA" w14:textId="1AA5D7FE" w:rsidR="00A139BA" w:rsidRDefault="00A139BA" w:rsidP="00C87419">
      <w:pPr>
        <w:spacing w:after="0"/>
        <w:rPr>
          <w:rFonts w:ascii="Times New Roman" w:hAnsi="Times New Roman" w:cs="Times New Roman"/>
          <w:b/>
          <w:sz w:val="24"/>
          <w:szCs w:val="24"/>
        </w:rPr>
      </w:pPr>
    </w:p>
    <w:p w14:paraId="675BDA7A" w14:textId="77777777" w:rsidR="00A139BA" w:rsidRPr="00ED7609" w:rsidRDefault="00A139BA" w:rsidP="00C87419">
      <w:pPr>
        <w:spacing w:after="0"/>
        <w:rPr>
          <w:rFonts w:ascii="Times New Roman" w:hAnsi="Times New Roman" w:cs="Times New Roman"/>
          <w:b/>
          <w:sz w:val="24"/>
          <w:szCs w:val="24"/>
        </w:rPr>
      </w:pPr>
    </w:p>
    <w:p w14:paraId="6A868CAF" w14:textId="11EF4454" w:rsidR="00E16E68" w:rsidRPr="00ED7609" w:rsidRDefault="00434206" w:rsidP="00C87419">
      <w:pPr>
        <w:spacing w:after="0"/>
        <w:rPr>
          <w:rFonts w:ascii="Times New Roman" w:hAnsi="Times New Roman" w:cs="Times New Roman"/>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46D00B83" w14:textId="2EBB3FBD" w:rsidR="00C87419" w:rsidRDefault="001D26F1" w:rsidP="001D26F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“Most importantly, without any evidence to support this conclusion,the IJ stated that he found ‘implausible . . . the preoccupation of Chinese authorities </w:t>
      </w:r>
      <w:r w:rsidR="003A1FBB">
        <w:rPr>
          <w:rFonts w:ascii="Times New Roman" w:hAnsi="Times New Roman" w:cs="Times New Roman"/>
          <w:bCs/>
          <w:sz w:val="24"/>
          <w:szCs w:val="24"/>
        </w:rPr>
        <w:t xml:space="preserve">for someone who is a mere adjunct to the activity that the government is trying to stop or prevent, but that is not at all involved in it herself.” </w:t>
      </w:r>
      <w:r w:rsidR="00BC06A6">
        <w:rPr>
          <w:rFonts w:ascii="Times New Roman" w:hAnsi="Times New Roman" w:cs="Times New Roman"/>
          <w:bCs/>
          <w:sz w:val="24"/>
          <w:szCs w:val="24"/>
        </w:rPr>
        <w:t>271</w:t>
      </w:r>
    </w:p>
    <w:p w14:paraId="6088F93E" w14:textId="77777777" w:rsidR="00FC3237" w:rsidRDefault="00FC3237" w:rsidP="00FC3237">
      <w:pPr>
        <w:pStyle w:val="ListParagraph"/>
        <w:spacing w:after="0"/>
        <w:rPr>
          <w:rFonts w:ascii="Times New Roman" w:hAnsi="Times New Roman" w:cs="Times New Roman"/>
          <w:bCs/>
          <w:sz w:val="24"/>
          <w:szCs w:val="24"/>
        </w:rPr>
      </w:pPr>
    </w:p>
    <w:p w14:paraId="78ED5B34" w14:textId="2381894F" w:rsidR="00BC06A6" w:rsidRDefault="00376199" w:rsidP="001D26F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BIA decisions </w:t>
      </w:r>
      <w:r w:rsidR="008C0D8E">
        <w:rPr>
          <w:rFonts w:ascii="Times New Roman" w:hAnsi="Times New Roman" w:cs="Times New Roman"/>
          <w:bCs/>
          <w:sz w:val="24"/>
          <w:szCs w:val="24"/>
        </w:rPr>
        <w:t xml:space="preserve">resulting in adverse credibility determinations </w:t>
      </w:r>
      <w:r>
        <w:rPr>
          <w:rFonts w:ascii="Times New Roman" w:hAnsi="Times New Roman" w:cs="Times New Roman"/>
          <w:bCs/>
          <w:sz w:val="24"/>
          <w:szCs w:val="24"/>
        </w:rPr>
        <w:t>are reviewable</w:t>
      </w:r>
      <w:r w:rsidR="008C0D8E">
        <w:rPr>
          <w:rFonts w:ascii="Times New Roman" w:hAnsi="Times New Roman" w:cs="Times New Roman"/>
          <w:bCs/>
          <w:sz w:val="24"/>
          <w:szCs w:val="24"/>
        </w:rPr>
        <w:t xml:space="preserve"> to see if there is substantial evidence in the record to support the determination.</w:t>
      </w:r>
    </w:p>
    <w:p w14:paraId="5213DA5B" w14:textId="77777777" w:rsidR="00F84C91" w:rsidRPr="00F84C91" w:rsidRDefault="00F84C91" w:rsidP="00F84C91">
      <w:pPr>
        <w:pStyle w:val="ListParagraph"/>
        <w:rPr>
          <w:rFonts w:ascii="Times New Roman" w:hAnsi="Times New Roman" w:cs="Times New Roman"/>
          <w:bCs/>
          <w:sz w:val="24"/>
          <w:szCs w:val="24"/>
        </w:rPr>
      </w:pPr>
    </w:p>
    <w:p w14:paraId="3B7D5432" w14:textId="39C41B34" w:rsidR="00F84C91" w:rsidRDefault="00F84C91" w:rsidP="001D26F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IJ’s decision cannot be supported by internal inconsistencies within Gao’s story as developed by her testimony.”</w:t>
      </w:r>
      <w:r>
        <w:rPr>
          <w:rFonts w:ascii="Times New Roman" w:hAnsi="Times New Roman" w:cs="Times New Roman"/>
          <w:bCs/>
          <w:sz w:val="24"/>
          <w:szCs w:val="24"/>
        </w:rPr>
        <w:tab/>
      </w:r>
      <w:r w:rsidR="009A5CE1">
        <w:rPr>
          <w:rFonts w:ascii="Times New Roman" w:hAnsi="Times New Roman" w:cs="Times New Roman"/>
          <w:bCs/>
          <w:sz w:val="24"/>
          <w:szCs w:val="24"/>
        </w:rPr>
        <w:t>273</w:t>
      </w:r>
    </w:p>
    <w:p w14:paraId="46B28398" w14:textId="77777777" w:rsidR="0005628B" w:rsidRPr="0005628B" w:rsidRDefault="0005628B" w:rsidP="0005628B">
      <w:pPr>
        <w:pStyle w:val="ListParagraph"/>
        <w:rPr>
          <w:rFonts w:ascii="Times New Roman" w:hAnsi="Times New Roman" w:cs="Times New Roman"/>
          <w:bCs/>
          <w:sz w:val="24"/>
          <w:szCs w:val="24"/>
        </w:rPr>
      </w:pPr>
    </w:p>
    <w:p w14:paraId="33545E4D" w14:textId="1F7E0052" w:rsidR="0005628B" w:rsidRDefault="0005628B" w:rsidP="001D26F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IJ does not focus on any differences between Gao’s application and her testimony. Instead, he focuses on her attempts to reconcile what is in her report cards with her actual activity</w:t>
      </w:r>
      <w:r w:rsidR="00CE7502">
        <w:rPr>
          <w:rFonts w:ascii="Times New Roman" w:hAnsi="Times New Roman" w:cs="Times New Roman"/>
          <w:bCs/>
          <w:sz w:val="24"/>
          <w:szCs w:val="24"/>
        </w:rPr>
        <w:t>. The IJ sees inconsistencies between Gao’s statements and the statements of others, not among Gao’s various recounting of her experience, which appear consistent.”</w:t>
      </w:r>
      <w:r w:rsidR="00CE7502">
        <w:rPr>
          <w:rFonts w:ascii="Times New Roman" w:hAnsi="Times New Roman" w:cs="Times New Roman"/>
          <w:bCs/>
          <w:sz w:val="24"/>
          <w:szCs w:val="24"/>
        </w:rPr>
        <w:tab/>
        <w:t>275</w:t>
      </w:r>
    </w:p>
    <w:p w14:paraId="6A111B14" w14:textId="77777777" w:rsidR="0043153B" w:rsidRPr="0043153B" w:rsidRDefault="0043153B" w:rsidP="0043153B">
      <w:pPr>
        <w:pStyle w:val="ListParagraph"/>
        <w:rPr>
          <w:rFonts w:ascii="Times New Roman" w:hAnsi="Times New Roman" w:cs="Times New Roman"/>
          <w:bCs/>
          <w:sz w:val="24"/>
          <w:szCs w:val="24"/>
        </w:rPr>
      </w:pPr>
    </w:p>
    <w:p w14:paraId="3FDF06B5" w14:textId="5CFA7516" w:rsidR="0043153B" w:rsidRDefault="0043153B" w:rsidP="001D26F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IJ ought to “state a reason and detail with specificity the issues of non-credibility.”   </w:t>
      </w:r>
      <w:r w:rsidR="00CB2C71">
        <w:rPr>
          <w:rFonts w:ascii="Times New Roman" w:hAnsi="Times New Roman" w:cs="Times New Roman"/>
          <w:bCs/>
          <w:sz w:val="24"/>
          <w:szCs w:val="24"/>
        </w:rPr>
        <w:t>275</w:t>
      </w:r>
    </w:p>
    <w:p w14:paraId="0A77E094" w14:textId="77777777" w:rsidR="003E2FEA" w:rsidRPr="003E2FEA" w:rsidRDefault="003E2FEA" w:rsidP="003E2FEA">
      <w:pPr>
        <w:pStyle w:val="ListParagraph"/>
        <w:rPr>
          <w:rFonts w:ascii="Times New Roman" w:hAnsi="Times New Roman" w:cs="Times New Roman"/>
          <w:bCs/>
          <w:sz w:val="24"/>
          <w:szCs w:val="24"/>
        </w:rPr>
      </w:pPr>
    </w:p>
    <w:p w14:paraId="0F6AACE7" w14:textId="3E219EE6" w:rsidR="003E2FEA" w:rsidRDefault="003E2FEA" w:rsidP="001D26F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“Adverse credibility findings are afforded substantial deference so long as the findings are supported by specific cogent reasons.</w:t>
      </w:r>
      <w:r w:rsidR="00B2781F">
        <w:rPr>
          <w:rFonts w:ascii="Times New Roman" w:hAnsi="Times New Roman" w:cs="Times New Roman"/>
          <w:bCs/>
          <w:sz w:val="24"/>
          <w:szCs w:val="24"/>
        </w:rPr>
        <w:t xml:space="preserve"> . . The reasons must be substantial and bear a legitimate nexus to the finding.” 276</w:t>
      </w:r>
    </w:p>
    <w:p w14:paraId="7C019F02" w14:textId="77777777" w:rsidR="00606624" w:rsidRPr="00606624" w:rsidRDefault="00606624" w:rsidP="00606624">
      <w:pPr>
        <w:pStyle w:val="ListParagraph"/>
        <w:rPr>
          <w:rFonts w:ascii="Times New Roman" w:hAnsi="Times New Roman" w:cs="Times New Roman"/>
          <w:bCs/>
          <w:sz w:val="24"/>
          <w:szCs w:val="24"/>
        </w:rPr>
      </w:pPr>
    </w:p>
    <w:p w14:paraId="2AD9AE54" w14:textId="08F14F08" w:rsidR="00606624" w:rsidRPr="001D26F1" w:rsidRDefault="00606624" w:rsidP="001D26F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 IJ does not provide a foundation for his disbelief of Gao’s testimony on these points, other than his own unsupported opinion as to how an authoritarian government operates, including his troubling remarks” about the implausibility of </w:t>
      </w:r>
      <w:r w:rsidR="004F24A1">
        <w:rPr>
          <w:rFonts w:ascii="Times New Roman" w:hAnsi="Times New Roman" w:cs="Times New Roman"/>
          <w:bCs/>
          <w:sz w:val="24"/>
          <w:szCs w:val="24"/>
        </w:rPr>
        <w:t>the government persecuting a mere messenger.  278</w:t>
      </w:r>
    </w:p>
    <w:p w14:paraId="2E13E61A" w14:textId="77777777" w:rsidR="00552EC4" w:rsidRPr="00ED7609" w:rsidRDefault="00552EC4" w:rsidP="00C87419">
      <w:pPr>
        <w:spacing w:after="0"/>
        <w:rPr>
          <w:rFonts w:ascii="Times New Roman" w:hAnsi="Times New Roman" w:cs="Times New Roman"/>
          <w:b/>
          <w:sz w:val="24"/>
          <w:szCs w:val="24"/>
        </w:rPr>
      </w:pPr>
    </w:p>
    <w:p w14:paraId="4C6F34B5" w14:textId="1BFC2AE2" w:rsidR="00E16E68" w:rsidRDefault="00E16E68"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Dissent:</w:t>
      </w:r>
      <w:r w:rsidR="004F24A1">
        <w:rPr>
          <w:rFonts w:ascii="Times New Roman" w:hAnsi="Times New Roman" w:cs="Times New Roman"/>
          <w:b/>
          <w:sz w:val="24"/>
          <w:szCs w:val="24"/>
        </w:rPr>
        <w:t xml:space="preserve"> Greenberg</w:t>
      </w:r>
    </w:p>
    <w:p w14:paraId="3405DA8C" w14:textId="4719504A" w:rsidR="004F24A1" w:rsidRDefault="007E003E" w:rsidP="004F24A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It’s all about the girl’s truancy, not her Falun Gong association.</w:t>
      </w:r>
    </w:p>
    <w:p w14:paraId="312A12EE" w14:textId="24BAE7D5" w:rsidR="007E003E" w:rsidRPr="004F24A1" w:rsidRDefault="007E003E" w:rsidP="004F24A1">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“It should be obvious that we have here a case involving nothing more than a high school student being disciplined for engaging in activities diverting her attention from her school work.”</w:t>
      </w:r>
      <w:r>
        <w:rPr>
          <w:rFonts w:ascii="Times New Roman" w:hAnsi="Times New Roman" w:cs="Times New Roman"/>
          <w:bCs/>
          <w:sz w:val="24"/>
          <w:szCs w:val="24"/>
        </w:rPr>
        <w:tab/>
        <w:t>280-81</w:t>
      </w:r>
    </w:p>
    <w:p w14:paraId="6145E59C" w14:textId="77777777" w:rsidR="00C87419" w:rsidRPr="00ED7609" w:rsidRDefault="00C87419" w:rsidP="00C87419">
      <w:pPr>
        <w:spacing w:after="0"/>
        <w:rPr>
          <w:rFonts w:ascii="Times New Roman" w:hAnsi="Times New Roman" w:cs="Times New Roman"/>
          <w:b/>
          <w:sz w:val="24"/>
          <w:szCs w:val="24"/>
        </w:rPr>
      </w:pPr>
    </w:p>
    <w:p w14:paraId="5186740D" w14:textId="13D40C1D" w:rsidR="00E16E68" w:rsidRDefault="00E16E68"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Commentary:</w:t>
      </w:r>
    </w:p>
    <w:p w14:paraId="58DA2773" w14:textId="77777777" w:rsidR="003D0D17" w:rsidRPr="003D0D17" w:rsidRDefault="003D0D17" w:rsidP="003D0D17">
      <w:pPr>
        <w:pStyle w:val="ListParagraph"/>
        <w:numPr>
          <w:ilvl w:val="0"/>
          <w:numId w:val="2"/>
        </w:numPr>
        <w:spacing w:after="0"/>
        <w:rPr>
          <w:rFonts w:ascii="Times New Roman" w:hAnsi="Times New Roman" w:cs="Times New Roman"/>
          <w:b/>
          <w:color w:val="C00000"/>
          <w:sz w:val="24"/>
          <w:szCs w:val="24"/>
        </w:rPr>
      </w:pPr>
      <w:r w:rsidRPr="003D0D17">
        <w:rPr>
          <w:rFonts w:ascii="Times New Roman" w:hAnsi="Times New Roman" w:cs="Times New Roman"/>
          <w:b/>
          <w:color w:val="C00000"/>
          <w:sz w:val="24"/>
          <w:szCs w:val="24"/>
        </w:rPr>
        <w:t>May 11, 2005: effective date of REAL ID Act:</w:t>
      </w:r>
      <w:r w:rsidRPr="003D0D17">
        <w:rPr>
          <w:rFonts w:ascii="Times New Roman" w:hAnsi="Times New Roman" w:cs="Times New Roman"/>
          <w:bCs/>
          <w:color w:val="C00000"/>
          <w:sz w:val="24"/>
          <w:szCs w:val="24"/>
        </w:rPr>
        <w:t xml:space="preserve"> overturned </w:t>
      </w:r>
      <w:r w:rsidRPr="003D0D17">
        <w:rPr>
          <w:rFonts w:ascii="Times New Roman" w:hAnsi="Times New Roman" w:cs="Times New Roman"/>
          <w:bCs/>
          <w:i/>
          <w:iCs/>
          <w:color w:val="C00000"/>
          <w:sz w:val="24"/>
          <w:szCs w:val="24"/>
        </w:rPr>
        <w:t>Gao v. Ashcroft</w:t>
      </w:r>
      <w:r w:rsidRPr="003D0D17">
        <w:rPr>
          <w:rFonts w:ascii="Times New Roman" w:hAnsi="Times New Roman" w:cs="Times New Roman"/>
          <w:bCs/>
          <w:color w:val="C00000"/>
          <w:sz w:val="24"/>
          <w:szCs w:val="24"/>
        </w:rPr>
        <w:t xml:space="preserve"> re. adverse credibility findings that rest solely on inconsistencies and improbabilities that go to the heart of the asylum claim. </w:t>
      </w:r>
    </w:p>
    <w:p w14:paraId="44285EBD" w14:textId="77777777" w:rsidR="003D0D17" w:rsidRPr="00414D52" w:rsidRDefault="003D0D17" w:rsidP="003D0D17">
      <w:pPr>
        <w:pStyle w:val="ListParagraph"/>
        <w:numPr>
          <w:ilvl w:val="1"/>
          <w:numId w:val="2"/>
        </w:numPr>
        <w:spacing w:after="0"/>
        <w:rPr>
          <w:rFonts w:ascii="Times New Roman" w:hAnsi="Times New Roman" w:cs="Times New Roman"/>
          <w:b/>
          <w:sz w:val="24"/>
          <w:szCs w:val="24"/>
        </w:rPr>
      </w:pPr>
      <w:r>
        <w:rPr>
          <w:rFonts w:ascii="Times New Roman" w:hAnsi="Times New Roman" w:cs="Times New Roman"/>
          <w:bCs/>
          <w:sz w:val="24"/>
          <w:szCs w:val="24"/>
        </w:rPr>
        <w:t xml:space="preserve">Now, under the REAL ID Act, the trier of fact may “find a lack of credibility based on any inconsistency or falsehood, without regard to whether an inconsistency, inaccuracy, or falsehood goes to the heart of the applicant’s claim.” (Quoting </w:t>
      </w:r>
      <w:r>
        <w:rPr>
          <w:rFonts w:ascii="Times New Roman" w:hAnsi="Times New Roman" w:cs="Times New Roman"/>
          <w:bCs/>
          <w:i/>
          <w:iCs/>
          <w:sz w:val="24"/>
          <w:szCs w:val="24"/>
        </w:rPr>
        <w:t>Zheng v. Gonzales</w:t>
      </w:r>
      <w:r>
        <w:rPr>
          <w:rFonts w:ascii="Times New Roman" w:hAnsi="Times New Roman" w:cs="Times New Roman"/>
          <w:bCs/>
          <w:sz w:val="24"/>
          <w:szCs w:val="24"/>
        </w:rPr>
        <w:t>, 417 F.3d 379, 381 n.1 (3d Cir. 2005), now superseded)</w:t>
      </w:r>
    </w:p>
    <w:p w14:paraId="48E17C64" w14:textId="3B64D2D0" w:rsidR="003D0D17" w:rsidRPr="003D0D17" w:rsidRDefault="003D0D17" w:rsidP="003D0D17">
      <w:pPr>
        <w:pStyle w:val="ListParagraph"/>
        <w:numPr>
          <w:ilvl w:val="0"/>
          <w:numId w:val="2"/>
        </w:numPr>
        <w:spacing w:after="0"/>
        <w:rPr>
          <w:rFonts w:ascii="Times New Roman" w:hAnsi="Times New Roman" w:cs="Times New Roman"/>
          <w:sz w:val="24"/>
          <w:szCs w:val="24"/>
        </w:rPr>
      </w:pPr>
    </w:p>
    <w:p w14:paraId="2E1F0385" w14:textId="77777777" w:rsidR="00E16E68" w:rsidRPr="00ED7609" w:rsidRDefault="00E16E68" w:rsidP="00C87419">
      <w:pPr>
        <w:spacing w:after="0"/>
        <w:rPr>
          <w:rFonts w:ascii="Times New Roman" w:hAnsi="Times New Roman" w:cs="Times New Roman"/>
          <w:b/>
          <w:sz w:val="24"/>
          <w:szCs w:val="24"/>
        </w:rPr>
      </w:pPr>
    </w:p>
    <w:sectPr w:rsidR="00E16E68"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E72B9" w14:textId="77777777" w:rsidR="00C14C4C" w:rsidRDefault="00C14C4C" w:rsidP="00E16E68">
      <w:pPr>
        <w:spacing w:after="0" w:line="240" w:lineRule="auto"/>
      </w:pPr>
      <w:r>
        <w:separator/>
      </w:r>
    </w:p>
  </w:endnote>
  <w:endnote w:type="continuationSeparator" w:id="0">
    <w:p w14:paraId="57F6DD04" w14:textId="77777777" w:rsidR="00C14C4C" w:rsidRDefault="00C14C4C" w:rsidP="00E16E68">
      <w:pPr>
        <w:spacing w:after="0" w:line="240" w:lineRule="auto"/>
      </w:pPr>
      <w:r>
        <w:continuationSeparator/>
      </w:r>
    </w:p>
  </w:endnote>
  <w:endnote w:type="continuationNotice" w:id="1">
    <w:p w14:paraId="24794A5E" w14:textId="77777777" w:rsidR="00C14C4C" w:rsidRDefault="00C14C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73D11E" w14:textId="77777777" w:rsidR="00C14C4C" w:rsidRDefault="00C14C4C" w:rsidP="00E16E68">
      <w:pPr>
        <w:spacing w:after="0" w:line="240" w:lineRule="auto"/>
      </w:pPr>
      <w:r>
        <w:separator/>
      </w:r>
    </w:p>
  </w:footnote>
  <w:footnote w:type="continuationSeparator" w:id="0">
    <w:p w14:paraId="2299491B" w14:textId="77777777" w:rsidR="00C14C4C" w:rsidRDefault="00C14C4C" w:rsidP="00E16E68">
      <w:pPr>
        <w:spacing w:after="0" w:line="240" w:lineRule="auto"/>
      </w:pPr>
      <w:r>
        <w:continuationSeparator/>
      </w:r>
    </w:p>
  </w:footnote>
  <w:footnote w:type="continuationNotice" w:id="1">
    <w:p w14:paraId="3A3665A3" w14:textId="77777777" w:rsidR="00C14C4C" w:rsidRDefault="00C14C4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6EFE7B92" w:rsidR="00E16E68" w:rsidRDefault="00622BB2" w:rsidP="00757CDB">
    <w:pPr>
      <w:pStyle w:val="Header"/>
      <w:jc w:val="right"/>
    </w:pPr>
    <w:r>
      <w:t xml:space="preserve">Third </w:t>
    </w:r>
    <w:r w:rsidR="006C420B">
      <w:t>Circuit</w:t>
    </w:r>
    <w:r w:rsidR="0016476D">
      <w:t xml:space="preserve"> Court</w:t>
    </w:r>
    <w:r w:rsidR="00E16E68">
      <w:tab/>
    </w:r>
    <w:r>
      <w:t>2002</w:t>
    </w:r>
    <w:r w:rsidR="00E16E68">
      <w:tab/>
    </w:r>
    <w:r>
      <w:t>Gao v. Ashcroft</w:t>
    </w:r>
  </w:p>
  <w:p w14:paraId="4CE88CBF" w14:textId="0758A058" w:rsidR="00552EC4" w:rsidRDefault="00552EC4" w:rsidP="00552EC4">
    <w:pPr>
      <w:pStyle w:val="Header"/>
      <w:jc w:val="right"/>
    </w:pPr>
    <w:r>
      <w:tab/>
    </w:r>
    <w:r>
      <w:tab/>
    </w:r>
    <w:r w:rsidR="00952A71">
      <w:t>ASYLUM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374B73"/>
    <w:multiLevelType w:val="hybridMultilevel"/>
    <w:tmpl w:val="AFA2504E"/>
    <w:lvl w:ilvl="0" w:tplc="F766C226">
      <w:start w:val="4"/>
      <w:numFmt w:val="bullet"/>
      <w:lvlText w:val=""/>
      <w:lvlJc w:val="left"/>
      <w:pPr>
        <w:ind w:left="720" w:hanging="360"/>
      </w:pPr>
      <w:rPr>
        <w:rFonts w:ascii="Symbol" w:eastAsiaTheme="minorHAnsi"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6C7640"/>
    <w:multiLevelType w:val="hybridMultilevel"/>
    <w:tmpl w:val="0CE0630A"/>
    <w:lvl w:ilvl="0" w:tplc="9E14CFBC">
      <w:start w:val="4"/>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EE77C4"/>
    <w:multiLevelType w:val="hybridMultilevel"/>
    <w:tmpl w:val="5B5E903E"/>
    <w:lvl w:ilvl="0" w:tplc="02F850E8">
      <w:start w:val="4"/>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005F0"/>
    <w:rsid w:val="00054BBC"/>
    <w:rsid w:val="0005628B"/>
    <w:rsid w:val="00144D3B"/>
    <w:rsid w:val="0016476D"/>
    <w:rsid w:val="00183040"/>
    <w:rsid w:val="001B0867"/>
    <w:rsid w:val="001D26F1"/>
    <w:rsid w:val="00200F4F"/>
    <w:rsid w:val="002051BF"/>
    <w:rsid w:val="00227C71"/>
    <w:rsid w:val="0035709D"/>
    <w:rsid w:val="00362842"/>
    <w:rsid w:val="00376199"/>
    <w:rsid w:val="003A1FBB"/>
    <w:rsid w:val="003A36E0"/>
    <w:rsid w:val="003D0D17"/>
    <w:rsid w:val="003E2FEA"/>
    <w:rsid w:val="003E3731"/>
    <w:rsid w:val="0043153B"/>
    <w:rsid w:val="00434206"/>
    <w:rsid w:val="00457D27"/>
    <w:rsid w:val="004C5D3E"/>
    <w:rsid w:val="004F24A1"/>
    <w:rsid w:val="005046B1"/>
    <w:rsid w:val="0051105B"/>
    <w:rsid w:val="00552EC4"/>
    <w:rsid w:val="00553D7D"/>
    <w:rsid w:val="005D1675"/>
    <w:rsid w:val="00606624"/>
    <w:rsid w:val="00622BB2"/>
    <w:rsid w:val="006C420B"/>
    <w:rsid w:val="00757CDB"/>
    <w:rsid w:val="00784691"/>
    <w:rsid w:val="007B49D0"/>
    <w:rsid w:val="007D1AC2"/>
    <w:rsid w:val="007E003E"/>
    <w:rsid w:val="007F7387"/>
    <w:rsid w:val="007F7A38"/>
    <w:rsid w:val="00816FB9"/>
    <w:rsid w:val="008A41F9"/>
    <w:rsid w:val="008C0D8E"/>
    <w:rsid w:val="008C70B7"/>
    <w:rsid w:val="008E5B66"/>
    <w:rsid w:val="0091656D"/>
    <w:rsid w:val="00952A71"/>
    <w:rsid w:val="009917BC"/>
    <w:rsid w:val="0099747E"/>
    <w:rsid w:val="009A5CE1"/>
    <w:rsid w:val="00A139BA"/>
    <w:rsid w:val="00A65C5C"/>
    <w:rsid w:val="00A71E2C"/>
    <w:rsid w:val="00B2781F"/>
    <w:rsid w:val="00B330E3"/>
    <w:rsid w:val="00B4334B"/>
    <w:rsid w:val="00B564E2"/>
    <w:rsid w:val="00B667F9"/>
    <w:rsid w:val="00B6711B"/>
    <w:rsid w:val="00B778D1"/>
    <w:rsid w:val="00BC06A6"/>
    <w:rsid w:val="00BF0628"/>
    <w:rsid w:val="00C14C4C"/>
    <w:rsid w:val="00C47189"/>
    <w:rsid w:val="00C87419"/>
    <w:rsid w:val="00CB2C71"/>
    <w:rsid w:val="00CC3AFE"/>
    <w:rsid w:val="00CC7EEE"/>
    <w:rsid w:val="00CD6DF7"/>
    <w:rsid w:val="00CE109B"/>
    <w:rsid w:val="00CE7502"/>
    <w:rsid w:val="00D01DE6"/>
    <w:rsid w:val="00D66735"/>
    <w:rsid w:val="00DC66CF"/>
    <w:rsid w:val="00DF5488"/>
    <w:rsid w:val="00E16E68"/>
    <w:rsid w:val="00E2134E"/>
    <w:rsid w:val="00E46E2E"/>
    <w:rsid w:val="00ED7609"/>
    <w:rsid w:val="00F84C91"/>
    <w:rsid w:val="00FC3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628</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46</cp:revision>
  <dcterms:created xsi:type="dcterms:W3CDTF">2021-06-11T13:48:00Z</dcterms:created>
  <dcterms:modified xsi:type="dcterms:W3CDTF">2021-06-11T15:18:00Z</dcterms:modified>
</cp:coreProperties>
</file>