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53BB7" w14:textId="6ECA5A90" w:rsidR="00CE41B9" w:rsidRPr="00936658" w:rsidRDefault="00077658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7B121C">
        <w:rPr>
          <w:rFonts w:ascii="Times New Roman" w:hAnsi="Times New Roman" w:cs="Times New Roman"/>
          <w:b/>
          <w:sz w:val="24"/>
          <w:szCs w:val="24"/>
        </w:rPr>
        <w:t xml:space="preserve"> BIA</w:t>
      </w:r>
    </w:p>
    <w:p w14:paraId="20453BB8" w14:textId="3610B398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Case:</w:t>
      </w:r>
      <w:r w:rsidR="007B12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B121C">
        <w:rPr>
          <w:rFonts w:ascii="Times New Roman" w:hAnsi="Times New Roman" w:cs="Times New Roman"/>
          <w:bCs/>
          <w:i/>
          <w:iCs/>
          <w:sz w:val="24"/>
          <w:szCs w:val="24"/>
        </w:rPr>
        <w:t>Matter of Mendoza-Hernandez and Capula-Cortes</w:t>
      </w:r>
      <w:r w:rsidR="007B121C">
        <w:rPr>
          <w:rFonts w:ascii="Times New Roman" w:hAnsi="Times New Roman" w:cs="Times New Roman"/>
          <w:bCs/>
          <w:sz w:val="24"/>
          <w:szCs w:val="24"/>
        </w:rPr>
        <w:t>, 27 I&amp;N Dec. 520 (BIA 2019</w:t>
      </w:r>
      <w:r w:rsidR="0065184A">
        <w:rPr>
          <w:rFonts w:ascii="Times New Roman" w:hAnsi="Times New Roman" w:cs="Times New Roman"/>
          <w:bCs/>
          <w:sz w:val="24"/>
          <w:szCs w:val="24"/>
        </w:rPr>
        <w:t>) (</w:t>
      </w:r>
      <w:proofErr w:type="spellStart"/>
      <w:r w:rsidR="0065184A">
        <w:rPr>
          <w:rFonts w:ascii="Times New Roman" w:hAnsi="Times New Roman" w:cs="Times New Roman"/>
          <w:bCs/>
          <w:sz w:val="24"/>
          <w:szCs w:val="24"/>
        </w:rPr>
        <w:t>en</w:t>
      </w:r>
      <w:proofErr w:type="spellEnd"/>
      <w:r w:rsidR="0065184A">
        <w:rPr>
          <w:rFonts w:ascii="Times New Roman" w:hAnsi="Times New Roman" w:cs="Times New Roman"/>
          <w:bCs/>
          <w:sz w:val="24"/>
          <w:szCs w:val="24"/>
        </w:rPr>
        <w:t xml:space="preserve"> banc)</w:t>
      </w:r>
      <w:r w:rsidR="006A0DE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A0DEE" w:rsidRPr="00CD3A94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 xml:space="preserve">superseded by </w:t>
      </w:r>
      <w:proofErr w:type="spellStart"/>
      <w:r w:rsidR="00011C92" w:rsidRPr="00CD3A94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Niz</w:t>
      </w:r>
      <w:proofErr w:type="spellEnd"/>
      <w:r w:rsidR="00011C92" w:rsidRPr="00CD3A94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-Chavez v. Garland</w:t>
      </w:r>
      <w:r w:rsidR="00CD3A94" w:rsidRPr="00CD3A94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(US 2021)</w:t>
      </w:r>
      <w:r w:rsidR="0065184A">
        <w:rPr>
          <w:rFonts w:ascii="Times New Roman" w:hAnsi="Times New Roman" w:cs="Times New Roman"/>
          <w:bCs/>
          <w:sz w:val="24"/>
          <w:szCs w:val="24"/>
        </w:rPr>
        <w:tab/>
      </w:r>
      <w:r w:rsidR="0065184A">
        <w:rPr>
          <w:rFonts w:ascii="Times New Roman" w:hAnsi="Times New Roman" w:cs="Times New Roman"/>
          <w:bCs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>Date:</w:t>
      </w:r>
      <w:r w:rsidR="0065184A">
        <w:rPr>
          <w:rFonts w:ascii="Times New Roman" w:hAnsi="Times New Roman" w:cs="Times New Roman"/>
          <w:bCs/>
          <w:sz w:val="24"/>
          <w:szCs w:val="24"/>
        </w:rPr>
        <w:t xml:space="preserve"> May 1, 2019</w:t>
      </w:r>
    </w:p>
    <w:p w14:paraId="39C6A8F5" w14:textId="77777777" w:rsidR="00CD3A94" w:rsidRPr="0065184A" w:rsidRDefault="00CD3A94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9" w14:textId="00EFA928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6518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E2364">
        <w:rPr>
          <w:rFonts w:ascii="Times New Roman" w:hAnsi="Times New Roman" w:cs="Times New Roman"/>
          <w:bCs/>
          <w:sz w:val="24"/>
          <w:szCs w:val="24"/>
        </w:rPr>
        <w:t xml:space="preserve">Neal, Malphrus, </w:t>
      </w:r>
      <w:proofErr w:type="spellStart"/>
      <w:r w:rsidR="009E2364">
        <w:rPr>
          <w:rFonts w:ascii="Times New Roman" w:hAnsi="Times New Roman" w:cs="Times New Roman"/>
          <w:bCs/>
          <w:sz w:val="24"/>
          <w:szCs w:val="24"/>
        </w:rPr>
        <w:t>Wendtland</w:t>
      </w:r>
      <w:proofErr w:type="spellEnd"/>
      <w:r w:rsidR="009E2364">
        <w:rPr>
          <w:rFonts w:ascii="Times New Roman" w:hAnsi="Times New Roman" w:cs="Times New Roman"/>
          <w:bCs/>
          <w:sz w:val="24"/>
          <w:szCs w:val="24"/>
        </w:rPr>
        <w:t xml:space="preserve">, Mullane, Greer, Mann, O’Connor, Liebowitz, Kelly. </w:t>
      </w:r>
      <w:r w:rsidR="009E2364">
        <w:rPr>
          <w:rFonts w:ascii="Times New Roman" w:hAnsi="Times New Roman" w:cs="Times New Roman"/>
          <w:b/>
          <w:sz w:val="24"/>
          <w:szCs w:val="24"/>
        </w:rPr>
        <w:t>Dissenting:</w:t>
      </w:r>
      <w:r w:rsidR="009E236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E2364">
        <w:rPr>
          <w:rFonts w:ascii="Times New Roman" w:hAnsi="Times New Roman" w:cs="Times New Roman"/>
          <w:bCs/>
          <w:sz w:val="24"/>
          <w:szCs w:val="24"/>
        </w:rPr>
        <w:t>Guendelsberger</w:t>
      </w:r>
      <w:proofErr w:type="spellEnd"/>
      <w:r w:rsidR="009E2364">
        <w:rPr>
          <w:rFonts w:ascii="Times New Roman" w:hAnsi="Times New Roman" w:cs="Times New Roman"/>
          <w:bCs/>
          <w:sz w:val="24"/>
          <w:szCs w:val="24"/>
        </w:rPr>
        <w:t xml:space="preserve"> with Adkins-Blanch</w:t>
      </w:r>
      <w:r w:rsidR="00F11A91">
        <w:rPr>
          <w:rFonts w:ascii="Times New Roman" w:hAnsi="Times New Roman" w:cs="Times New Roman"/>
          <w:bCs/>
          <w:sz w:val="24"/>
          <w:szCs w:val="24"/>
        </w:rPr>
        <w:t xml:space="preserve">; Cole, Grant, </w:t>
      </w:r>
      <w:proofErr w:type="spellStart"/>
      <w:r w:rsidR="00F11A91">
        <w:rPr>
          <w:rFonts w:ascii="Times New Roman" w:hAnsi="Times New Roman" w:cs="Times New Roman"/>
          <w:bCs/>
          <w:sz w:val="24"/>
          <w:szCs w:val="24"/>
        </w:rPr>
        <w:t>Creppy</w:t>
      </w:r>
      <w:proofErr w:type="spellEnd"/>
      <w:r w:rsidR="00F11A91">
        <w:rPr>
          <w:rFonts w:ascii="Times New Roman" w:hAnsi="Times New Roman" w:cs="Times New Roman"/>
          <w:bCs/>
          <w:sz w:val="24"/>
          <w:szCs w:val="24"/>
        </w:rPr>
        <w:t>, Kendall Clark</w:t>
      </w:r>
    </w:p>
    <w:p w14:paraId="20453BBA" w14:textId="592F4337" w:rsidR="00077658" w:rsidRPr="00F11A91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Opinion:</w:t>
      </w:r>
      <w:r w:rsidR="00F11A91">
        <w:rPr>
          <w:rFonts w:ascii="Times New Roman" w:hAnsi="Times New Roman" w:cs="Times New Roman"/>
          <w:bCs/>
          <w:sz w:val="24"/>
          <w:szCs w:val="24"/>
        </w:rPr>
        <w:t xml:space="preserve"> Greer</w:t>
      </w:r>
    </w:p>
    <w:p w14:paraId="7DA3BF7F" w14:textId="77777777" w:rsidR="00F11A91" w:rsidRDefault="00F11A91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B" w14:textId="2DF46CC6" w:rsidR="00077658" w:rsidRPr="00F11A91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Tags:</w:t>
      </w:r>
      <w:r w:rsidR="00F11A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12718">
        <w:rPr>
          <w:rFonts w:ascii="Times New Roman" w:hAnsi="Times New Roman" w:cs="Times New Roman"/>
          <w:bCs/>
          <w:sz w:val="24"/>
          <w:szCs w:val="24"/>
        </w:rPr>
        <w:t>Immigration, NTA, cure of defective NTA, Notice of Hearing, stop-time rule</w:t>
      </w:r>
      <w:r w:rsidR="007E6508">
        <w:rPr>
          <w:rFonts w:ascii="Times New Roman" w:hAnsi="Times New Roman" w:cs="Times New Roman"/>
          <w:bCs/>
          <w:sz w:val="24"/>
          <w:szCs w:val="24"/>
        </w:rPr>
        <w:t>, cancellation of removal</w:t>
      </w:r>
    </w:p>
    <w:p w14:paraId="05884057" w14:textId="77777777" w:rsidR="00853BB1" w:rsidRDefault="00853BB1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C" w14:textId="739A05A4" w:rsidR="00077658" w:rsidRPr="00853BB1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Question Presented:</w:t>
      </w:r>
      <w:r w:rsidR="00853BB1">
        <w:rPr>
          <w:rFonts w:ascii="Times New Roman" w:hAnsi="Times New Roman" w:cs="Times New Roman"/>
          <w:bCs/>
          <w:sz w:val="24"/>
          <w:szCs w:val="24"/>
        </w:rPr>
        <w:t xml:space="preserve"> Does a subsequent Notice of Hearing cure a </w:t>
      </w:r>
      <w:r w:rsidR="00CD3A94">
        <w:rPr>
          <w:rFonts w:ascii="Times New Roman" w:hAnsi="Times New Roman" w:cs="Times New Roman"/>
          <w:bCs/>
          <w:sz w:val="24"/>
          <w:szCs w:val="24"/>
        </w:rPr>
        <w:t>defective NTA</w:t>
      </w:r>
      <w:r w:rsidR="009245DA">
        <w:rPr>
          <w:rFonts w:ascii="Times New Roman" w:hAnsi="Times New Roman" w:cs="Times New Roman"/>
          <w:bCs/>
          <w:sz w:val="24"/>
          <w:szCs w:val="24"/>
        </w:rPr>
        <w:t xml:space="preserve"> for purposes of the stop-time rule?</w:t>
      </w:r>
    </w:p>
    <w:p w14:paraId="20453BBD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E" w14:textId="62DE8BE6" w:rsidR="00077658" w:rsidRPr="00CD34C5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Holdings:</w:t>
      </w:r>
      <w:r w:rsidR="009245D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D34C5">
        <w:rPr>
          <w:rFonts w:ascii="Times New Roman" w:hAnsi="Times New Roman" w:cs="Times New Roman"/>
          <w:bCs/>
          <w:sz w:val="24"/>
          <w:szCs w:val="24"/>
        </w:rPr>
        <w:t>Why, yes,</w:t>
      </w:r>
      <w:r w:rsidR="009245DA">
        <w:rPr>
          <w:rFonts w:ascii="Times New Roman" w:hAnsi="Times New Roman" w:cs="Times New Roman"/>
          <w:bCs/>
          <w:sz w:val="24"/>
          <w:szCs w:val="24"/>
        </w:rPr>
        <w:t xml:space="preserve"> it does! (NOT—</w:t>
      </w:r>
      <w:r w:rsidR="009245DA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see </w:t>
      </w:r>
      <w:proofErr w:type="spellStart"/>
      <w:r w:rsidR="00CD34C5">
        <w:rPr>
          <w:rFonts w:ascii="Times New Roman" w:hAnsi="Times New Roman" w:cs="Times New Roman"/>
          <w:bCs/>
          <w:i/>
          <w:iCs/>
          <w:sz w:val="24"/>
          <w:szCs w:val="24"/>
        </w:rPr>
        <w:t>Niz</w:t>
      </w:r>
      <w:proofErr w:type="spellEnd"/>
      <w:r w:rsidR="00CD34C5">
        <w:rPr>
          <w:rFonts w:ascii="Times New Roman" w:hAnsi="Times New Roman" w:cs="Times New Roman"/>
          <w:bCs/>
          <w:i/>
          <w:iCs/>
          <w:sz w:val="24"/>
          <w:szCs w:val="24"/>
        </w:rPr>
        <w:t>-Chavez</w:t>
      </w:r>
      <w:r w:rsidR="00CD34C5">
        <w:rPr>
          <w:rFonts w:ascii="Times New Roman" w:hAnsi="Times New Roman" w:cs="Times New Roman"/>
          <w:bCs/>
          <w:sz w:val="24"/>
          <w:szCs w:val="24"/>
        </w:rPr>
        <w:t>)</w:t>
      </w:r>
      <w:r w:rsidR="00813B8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0453BBF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0" w14:textId="0FF79842" w:rsidR="00077658" w:rsidRPr="007A2834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Rationale:</w:t>
      </w:r>
      <w:r w:rsidR="007A2834">
        <w:rPr>
          <w:rFonts w:ascii="Times New Roman" w:hAnsi="Times New Roman" w:cs="Times New Roman"/>
          <w:bCs/>
          <w:sz w:val="24"/>
          <w:szCs w:val="24"/>
        </w:rPr>
        <w:t xml:space="preserve"> “in cases where a NTA does not specify the time or place of an alien’s initial removal hearing, the subsequent </w:t>
      </w:r>
      <w:r w:rsidR="00981C54">
        <w:rPr>
          <w:rFonts w:ascii="Times New Roman" w:hAnsi="Times New Roman" w:cs="Times New Roman"/>
          <w:bCs/>
          <w:sz w:val="24"/>
          <w:szCs w:val="24"/>
        </w:rPr>
        <w:t>service of a notice of hearing containing that information perfects the deficient notice to appear, triggers the ‘stop-time’ rule, and ends the alien’s period of continuous residence or physical presence in the U.S.”</w:t>
      </w:r>
      <w:r w:rsidR="00981C54">
        <w:rPr>
          <w:rFonts w:ascii="Times New Roman" w:hAnsi="Times New Roman" w:cs="Times New Roman"/>
          <w:bCs/>
          <w:sz w:val="24"/>
          <w:szCs w:val="24"/>
        </w:rPr>
        <w:tab/>
        <w:t>529</w:t>
      </w:r>
    </w:p>
    <w:p w14:paraId="20453BC1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6670281" w14:textId="77777777" w:rsidR="007D728D" w:rsidRPr="00936658" w:rsidRDefault="00077658" w:rsidP="007D728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Facts</w:t>
      </w:r>
      <w:r w:rsidR="007D728D">
        <w:rPr>
          <w:rFonts w:ascii="Times New Roman" w:hAnsi="Times New Roman" w:cs="Times New Roman"/>
          <w:b/>
          <w:sz w:val="24"/>
          <w:szCs w:val="24"/>
        </w:rPr>
        <w:t xml:space="preserve"> &amp; </w:t>
      </w:r>
      <w:r w:rsidR="007D728D"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7D728D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20453BC2" w14:textId="7BE51FC5" w:rsidR="00077658" w:rsidRPr="009675B0" w:rsidRDefault="00FE500D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Respondent</w:t>
      </w:r>
      <w:r w:rsidR="00813B81">
        <w:rPr>
          <w:rFonts w:ascii="Times New Roman" w:hAnsi="Times New Roman" w:cs="Times New Roman"/>
          <w:bCs/>
          <w:sz w:val="24"/>
          <w:szCs w:val="24"/>
        </w:rPr>
        <w:t>s</w:t>
      </w:r>
      <w:r w:rsidR="000218C3">
        <w:rPr>
          <w:rFonts w:ascii="Times New Roman" w:hAnsi="Times New Roman" w:cs="Times New Roman"/>
          <w:bCs/>
          <w:sz w:val="24"/>
          <w:szCs w:val="24"/>
        </w:rPr>
        <w:t xml:space="preserve">, citizens of Mexico, </w:t>
      </w:r>
      <w:r>
        <w:rPr>
          <w:rFonts w:ascii="Times New Roman" w:hAnsi="Times New Roman" w:cs="Times New Roman"/>
          <w:bCs/>
          <w:sz w:val="24"/>
          <w:szCs w:val="24"/>
        </w:rPr>
        <w:t>were deemed removable for inadmissibility</w:t>
      </w:r>
      <w:r w:rsidR="00A21572">
        <w:rPr>
          <w:rFonts w:ascii="Times New Roman" w:hAnsi="Times New Roman" w:cs="Times New Roman"/>
          <w:bCs/>
          <w:sz w:val="24"/>
          <w:szCs w:val="24"/>
        </w:rPr>
        <w:t xml:space="preserve"> in 2010</w:t>
      </w:r>
      <w:r w:rsidR="004312B4">
        <w:rPr>
          <w:rFonts w:ascii="Times New Roman" w:hAnsi="Times New Roman" w:cs="Times New Roman"/>
          <w:bCs/>
          <w:sz w:val="24"/>
          <w:szCs w:val="24"/>
        </w:rPr>
        <w:t>, and IJ denied cancellation of removal because they had not met the continuous physical presence requirement</w:t>
      </w:r>
      <w:r w:rsidR="00D50345">
        <w:rPr>
          <w:rFonts w:ascii="Times New Roman" w:hAnsi="Times New Roman" w:cs="Times New Roman"/>
          <w:bCs/>
          <w:sz w:val="24"/>
          <w:szCs w:val="24"/>
        </w:rPr>
        <w:t>.</w:t>
      </w:r>
      <w:r w:rsidR="00A21572">
        <w:rPr>
          <w:rFonts w:ascii="Times New Roman" w:hAnsi="Times New Roman" w:cs="Times New Roman"/>
          <w:bCs/>
          <w:sz w:val="24"/>
          <w:szCs w:val="24"/>
        </w:rPr>
        <w:t xml:space="preserve"> Could prove presence from 2005-2010, but not yet </w:t>
      </w:r>
      <w:r w:rsidR="00161DD8">
        <w:rPr>
          <w:rFonts w:ascii="Times New Roman" w:hAnsi="Times New Roman" w:cs="Times New Roman"/>
          <w:bCs/>
          <w:sz w:val="24"/>
          <w:szCs w:val="24"/>
        </w:rPr>
        <w:t>from 2000. MTR in 2017 to present earlier history of physical presence</w:t>
      </w:r>
      <w:r w:rsidR="007D728D">
        <w:rPr>
          <w:rFonts w:ascii="Times New Roman" w:hAnsi="Times New Roman" w:cs="Times New Roman"/>
          <w:bCs/>
          <w:sz w:val="24"/>
          <w:szCs w:val="24"/>
        </w:rPr>
        <w:t xml:space="preserve">. Appeal to BIA in 2017. 2018 Motion to Remand </w:t>
      </w:r>
      <w:r w:rsidR="009675B0">
        <w:rPr>
          <w:rFonts w:ascii="Times New Roman" w:hAnsi="Times New Roman" w:cs="Times New Roman"/>
          <w:bCs/>
          <w:sz w:val="24"/>
          <w:szCs w:val="24"/>
        </w:rPr>
        <w:t xml:space="preserve">because of </w:t>
      </w:r>
      <w:r w:rsidR="009675B0">
        <w:rPr>
          <w:rFonts w:ascii="Times New Roman" w:hAnsi="Times New Roman" w:cs="Times New Roman"/>
          <w:bCs/>
          <w:i/>
          <w:iCs/>
          <w:sz w:val="24"/>
          <w:szCs w:val="24"/>
        </w:rPr>
        <w:t>Pereira</w:t>
      </w:r>
      <w:r w:rsidR="009675B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20453BC3" w14:textId="295F9E35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4451CDD" w14:textId="7D6A7FA4" w:rsidR="009E1BF8" w:rsidRDefault="009E1BF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Respondents’ Argument:</w:t>
      </w:r>
    </w:p>
    <w:p w14:paraId="79AFB5CE" w14:textId="41F9C899" w:rsidR="009E1BF8" w:rsidRDefault="00803FB4" w:rsidP="009E1BF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Hearing Notice from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Imm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Court “did not trigger the ‘stop-time’ rule because ‘jurisdiction has never vested’ with the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Imm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Court.</w:t>
      </w:r>
    </w:p>
    <w:p w14:paraId="26917FFB" w14:textId="7864FDDC" w:rsidR="00A95D6F" w:rsidRDefault="00A95D6F" w:rsidP="009E1BF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Physical presence would continue to accrue until new </w:t>
      </w:r>
      <w:r w:rsidR="00A5155B">
        <w:rPr>
          <w:rFonts w:ascii="Times New Roman" w:hAnsi="Times New Roman" w:cs="Times New Roman"/>
          <w:bCs/>
          <w:sz w:val="24"/>
          <w:szCs w:val="24"/>
        </w:rPr>
        <w:t>valid NTA is issued.</w:t>
      </w:r>
    </w:p>
    <w:p w14:paraId="556BC6AC" w14:textId="791593A8" w:rsidR="00A5155B" w:rsidRDefault="00A5155B" w:rsidP="00A5155B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4BCE937C" w14:textId="071AD883" w:rsidR="00A5155B" w:rsidRDefault="00A5155B" w:rsidP="00A5155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DHS Argument:</w:t>
      </w:r>
    </w:p>
    <w:p w14:paraId="2BF0DB74" w14:textId="78FFD5B6" w:rsidR="00A5155B" w:rsidRPr="00A5155B" w:rsidRDefault="00A5155B" w:rsidP="00A5155B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NTA + Hearing Notice = </w:t>
      </w:r>
      <w:r w:rsidR="005F6239">
        <w:rPr>
          <w:rFonts w:ascii="Times New Roman" w:hAnsi="Times New Roman" w:cs="Times New Roman"/>
          <w:bCs/>
          <w:sz w:val="24"/>
          <w:szCs w:val="24"/>
        </w:rPr>
        <w:t>sufficient to trigger stop-time rule</w:t>
      </w:r>
    </w:p>
    <w:p w14:paraId="20453BC5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6" w14:textId="5A98809F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278B4C2C" w14:textId="0B3D991D" w:rsidR="00D50345" w:rsidRPr="00D067E3" w:rsidRDefault="00D50345" w:rsidP="00D5034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INA §240A(b)(1) / 8 U.S.C. </w:t>
      </w:r>
      <w:r>
        <w:rPr>
          <w:rFonts w:ascii="Times New Roman" w:hAnsi="Times New Roman" w:cs="Times New Roman"/>
          <w:b/>
          <w:sz w:val="24"/>
          <w:szCs w:val="24"/>
        </w:rPr>
        <w:t>§</w:t>
      </w:r>
      <w:r w:rsidR="00D067E3">
        <w:rPr>
          <w:rFonts w:ascii="Times New Roman" w:hAnsi="Times New Roman" w:cs="Times New Roman"/>
          <w:b/>
          <w:sz w:val="24"/>
          <w:szCs w:val="24"/>
        </w:rPr>
        <w:t>1229b(b)(1):</w:t>
      </w:r>
      <w:r w:rsidR="00D067E3">
        <w:rPr>
          <w:rFonts w:ascii="Times New Roman" w:hAnsi="Times New Roman" w:cs="Times New Roman"/>
          <w:bCs/>
          <w:sz w:val="24"/>
          <w:szCs w:val="24"/>
        </w:rPr>
        <w:t xml:space="preserve"> Cancellation of removal</w:t>
      </w:r>
    </w:p>
    <w:p w14:paraId="55279B8A" w14:textId="58C8926C" w:rsidR="00D067E3" w:rsidRPr="001B742E" w:rsidRDefault="00D067E3" w:rsidP="00D5034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Pereira v. Sessions</w:t>
      </w:r>
      <w:r>
        <w:rPr>
          <w:rFonts w:ascii="Times New Roman" w:hAnsi="Times New Roman" w:cs="Times New Roman"/>
          <w:b/>
          <w:sz w:val="24"/>
          <w:szCs w:val="24"/>
        </w:rPr>
        <w:t>, 138 S. Ct. 2015 (2018</w:t>
      </w:r>
      <w:r w:rsidR="00813B81">
        <w:rPr>
          <w:rFonts w:ascii="Times New Roman" w:hAnsi="Times New Roman" w:cs="Times New Roman"/>
          <w:b/>
          <w:sz w:val="24"/>
          <w:szCs w:val="24"/>
        </w:rPr>
        <w:t>):</w:t>
      </w:r>
      <w:r w:rsidR="00813B81">
        <w:rPr>
          <w:rFonts w:ascii="Times New Roman" w:hAnsi="Times New Roman" w:cs="Times New Roman"/>
          <w:bCs/>
          <w:sz w:val="24"/>
          <w:szCs w:val="24"/>
        </w:rPr>
        <w:t xml:space="preserve"> Defective NTA </w:t>
      </w:r>
      <w:proofErr w:type="spellStart"/>
      <w:r w:rsidR="00813B81">
        <w:rPr>
          <w:rFonts w:ascii="Times New Roman" w:hAnsi="Times New Roman" w:cs="Times New Roman"/>
          <w:bCs/>
          <w:sz w:val="24"/>
          <w:szCs w:val="24"/>
        </w:rPr>
        <w:t>ain’t</w:t>
      </w:r>
      <w:proofErr w:type="spellEnd"/>
      <w:r w:rsidR="00813B81">
        <w:rPr>
          <w:rFonts w:ascii="Times New Roman" w:hAnsi="Times New Roman" w:cs="Times New Roman"/>
          <w:bCs/>
          <w:sz w:val="24"/>
          <w:szCs w:val="24"/>
        </w:rPr>
        <w:t xml:space="preserve"> no NTA.</w:t>
      </w:r>
    </w:p>
    <w:p w14:paraId="21A6310C" w14:textId="3A866BB3" w:rsidR="001B742E" w:rsidRPr="00082A6D" w:rsidRDefault="001B742E" w:rsidP="00D5034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Matter of Bermudez-Cota</w:t>
      </w:r>
      <w:r>
        <w:rPr>
          <w:rFonts w:ascii="Times New Roman" w:hAnsi="Times New Roman" w:cs="Times New Roman"/>
          <w:b/>
          <w:sz w:val="24"/>
          <w:szCs w:val="24"/>
        </w:rPr>
        <w:t>, 27 I&amp;N Dec. 441 (BIA 2018):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C45C8">
        <w:rPr>
          <w:rFonts w:ascii="Times New Roman" w:hAnsi="Times New Roman" w:cs="Times New Roman"/>
          <w:bCs/>
          <w:sz w:val="24"/>
          <w:szCs w:val="24"/>
        </w:rPr>
        <w:t>Defective NTA does not affect jurisdiction of IJ so long as information about date, time, and place of hearing is subsequently sent to respondent.</w:t>
      </w:r>
      <w:r w:rsidR="00FE74CF">
        <w:rPr>
          <w:rFonts w:ascii="Times New Roman" w:hAnsi="Times New Roman" w:cs="Times New Roman"/>
          <w:bCs/>
          <w:sz w:val="24"/>
          <w:szCs w:val="24"/>
        </w:rPr>
        <w:t xml:space="preserve"> Also, 2-step process satisfies stop-time requirement.</w:t>
      </w:r>
    </w:p>
    <w:p w14:paraId="02998756" w14:textId="1BA628E4" w:rsidR="00082A6D" w:rsidRDefault="00082A6D" w:rsidP="00082A6D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Banegas Gomez v. Barr</w:t>
      </w:r>
      <w:r w:rsidR="009812DC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956EF">
        <w:rPr>
          <w:rFonts w:ascii="Times New Roman" w:hAnsi="Times New Roman" w:cs="Times New Roman"/>
          <w:b/>
          <w:sz w:val="24"/>
          <w:szCs w:val="24"/>
        </w:rPr>
        <w:t>922 F.3d 101 (2d Cir. 2019)</w:t>
      </w:r>
      <w:r w:rsidR="00FE74CF">
        <w:rPr>
          <w:rFonts w:ascii="Times New Roman" w:hAnsi="Times New Roman" w:cs="Times New Roman"/>
          <w:bCs/>
          <w:sz w:val="24"/>
          <w:szCs w:val="24"/>
        </w:rPr>
        <w:t xml:space="preserve"> (jurisdiction intact)</w:t>
      </w:r>
    </w:p>
    <w:p w14:paraId="6754DE65" w14:textId="7C852623" w:rsidR="00A956EF" w:rsidRDefault="003A50A6" w:rsidP="00082A6D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Karingithi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Whitaker</w:t>
      </w:r>
      <w:r>
        <w:rPr>
          <w:rFonts w:ascii="Times New Roman" w:hAnsi="Times New Roman" w:cs="Times New Roman"/>
          <w:b/>
          <w:sz w:val="24"/>
          <w:szCs w:val="24"/>
        </w:rPr>
        <w:t>, 913 F.3d 1158 (9th Cir. 2019)</w:t>
      </w:r>
      <w:r w:rsidR="00FE74CF">
        <w:rPr>
          <w:rFonts w:ascii="Times New Roman" w:hAnsi="Times New Roman" w:cs="Times New Roman"/>
          <w:bCs/>
          <w:sz w:val="24"/>
          <w:szCs w:val="24"/>
        </w:rPr>
        <w:t xml:space="preserve"> (jurisdiction intact)</w:t>
      </w:r>
    </w:p>
    <w:p w14:paraId="10942DBE" w14:textId="2009854E" w:rsidR="003A50A6" w:rsidRDefault="003A50A6" w:rsidP="00082A6D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Hernandez-Perez v. Whitaker</w:t>
      </w:r>
      <w:r>
        <w:rPr>
          <w:rFonts w:ascii="Times New Roman" w:hAnsi="Times New Roman" w:cs="Times New Roman"/>
          <w:b/>
          <w:sz w:val="24"/>
          <w:szCs w:val="24"/>
        </w:rPr>
        <w:t>, 911 F.3d 305 (6th Cir. 2018)</w:t>
      </w:r>
      <w:r w:rsidR="00FE74CF">
        <w:rPr>
          <w:rFonts w:ascii="Times New Roman" w:hAnsi="Times New Roman" w:cs="Times New Roman"/>
          <w:bCs/>
          <w:sz w:val="24"/>
          <w:szCs w:val="24"/>
        </w:rPr>
        <w:t xml:space="preserve"> (jurisdiction intact)</w:t>
      </w:r>
    </w:p>
    <w:p w14:paraId="5A787379" w14:textId="205CA82C" w:rsidR="00C04958" w:rsidRPr="00FE74CF" w:rsidRDefault="00D17341" w:rsidP="00082A6D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Molina-Guillen v. A.G.</w:t>
      </w:r>
      <w:r w:rsidR="00CF08AA">
        <w:rPr>
          <w:rFonts w:ascii="Times New Roman" w:hAnsi="Times New Roman" w:cs="Times New Roman"/>
          <w:b/>
          <w:sz w:val="24"/>
          <w:szCs w:val="24"/>
        </w:rPr>
        <w:t xml:space="preserve">, 758 F. Appx 893 (11th Cir. 2019) (per </w:t>
      </w:r>
      <w:proofErr w:type="spellStart"/>
      <w:r w:rsidR="00CF08AA">
        <w:rPr>
          <w:rFonts w:ascii="Times New Roman" w:hAnsi="Times New Roman" w:cs="Times New Roman"/>
          <w:b/>
          <w:sz w:val="24"/>
          <w:szCs w:val="24"/>
        </w:rPr>
        <w:t>curiam</w:t>
      </w:r>
      <w:proofErr w:type="spellEnd"/>
      <w:r w:rsidR="00CF08AA">
        <w:rPr>
          <w:rFonts w:ascii="Times New Roman" w:hAnsi="Times New Roman" w:cs="Times New Roman"/>
          <w:b/>
          <w:sz w:val="24"/>
          <w:szCs w:val="24"/>
        </w:rPr>
        <w:t>)</w:t>
      </w:r>
      <w:r w:rsidR="00FE74CF">
        <w:rPr>
          <w:rFonts w:ascii="Times New Roman" w:hAnsi="Times New Roman" w:cs="Times New Roman"/>
          <w:bCs/>
          <w:sz w:val="24"/>
          <w:szCs w:val="24"/>
        </w:rPr>
        <w:t xml:space="preserve"> (jurisdiction intact)</w:t>
      </w:r>
    </w:p>
    <w:p w14:paraId="1DAC6A8A" w14:textId="6F41718C" w:rsidR="00FE74CF" w:rsidRPr="003A50A6" w:rsidRDefault="009409C2" w:rsidP="00780BE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Dababneh v. Gonzalez</w:t>
      </w:r>
      <w:r>
        <w:rPr>
          <w:rFonts w:ascii="Times New Roman" w:hAnsi="Times New Roman" w:cs="Times New Roman"/>
          <w:b/>
          <w:sz w:val="24"/>
          <w:szCs w:val="24"/>
        </w:rPr>
        <w:t>, 471 F.3d 806 (7th Cir. 2006):</w:t>
      </w:r>
      <w:r>
        <w:rPr>
          <w:rFonts w:ascii="Times New Roman" w:hAnsi="Times New Roman" w:cs="Times New Roman"/>
          <w:bCs/>
          <w:sz w:val="24"/>
          <w:szCs w:val="24"/>
        </w:rPr>
        <w:t xml:space="preserve"> jurisdiction intact; </w:t>
      </w:r>
      <w:r w:rsidR="00780BE7">
        <w:rPr>
          <w:rFonts w:ascii="Times New Roman" w:hAnsi="Times New Roman" w:cs="Times New Roman"/>
          <w:bCs/>
          <w:sz w:val="24"/>
          <w:szCs w:val="24"/>
        </w:rPr>
        <w:t xml:space="preserve">two-step process was sufficient to satisfy stop-time </w:t>
      </w:r>
      <w:proofErr w:type="gramStart"/>
      <w:r w:rsidR="00780BE7">
        <w:rPr>
          <w:rFonts w:ascii="Times New Roman" w:hAnsi="Times New Roman" w:cs="Times New Roman"/>
          <w:bCs/>
          <w:sz w:val="24"/>
          <w:szCs w:val="24"/>
        </w:rPr>
        <w:t>requirement</w:t>
      </w:r>
      <w:proofErr w:type="gramEnd"/>
    </w:p>
    <w:p w14:paraId="13E19049" w14:textId="3B7C53B8" w:rsidR="003A50A6" w:rsidRPr="00D50345" w:rsidRDefault="00780BE7" w:rsidP="003A50A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Camarillo</w:t>
      </w:r>
      <w:r>
        <w:rPr>
          <w:rFonts w:ascii="Times New Roman" w:hAnsi="Times New Roman" w:cs="Times New Roman"/>
          <w:b/>
          <w:sz w:val="24"/>
          <w:szCs w:val="24"/>
        </w:rPr>
        <w:t xml:space="preserve">, 25 I&amp;N Dec. </w:t>
      </w:r>
      <w:r w:rsidR="0039538B">
        <w:rPr>
          <w:rFonts w:ascii="Times New Roman" w:hAnsi="Times New Roman" w:cs="Times New Roman"/>
          <w:b/>
          <w:sz w:val="24"/>
          <w:szCs w:val="24"/>
        </w:rPr>
        <w:t>644 (BIA 2011):</w:t>
      </w:r>
      <w:r w:rsidR="0039538B">
        <w:rPr>
          <w:rFonts w:ascii="Times New Roman" w:hAnsi="Times New Roman" w:cs="Times New Roman"/>
          <w:bCs/>
          <w:sz w:val="24"/>
          <w:szCs w:val="24"/>
        </w:rPr>
        <w:t xml:space="preserve"> Even a defective NTA triggers stop-time rule.</w:t>
      </w:r>
      <w:r w:rsidR="00EA4C49">
        <w:rPr>
          <w:rFonts w:ascii="Times New Roman" w:hAnsi="Times New Roman" w:cs="Times New Roman"/>
          <w:bCs/>
          <w:sz w:val="24"/>
          <w:szCs w:val="24"/>
        </w:rPr>
        <w:t xml:space="preserve"> Followed by a bunch of CAs; </w:t>
      </w:r>
      <w:r w:rsidR="00A44F08">
        <w:rPr>
          <w:rFonts w:ascii="Times New Roman" w:hAnsi="Times New Roman" w:cs="Times New Roman"/>
          <w:bCs/>
          <w:sz w:val="24"/>
          <w:szCs w:val="24"/>
        </w:rPr>
        <w:t>3d Circuit was the holdout.</w:t>
      </w:r>
      <w:r w:rsidR="0039538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9538B" w:rsidRPr="0039538B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[Now overruled by </w:t>
      </w:r>
      <w:r w:rsidR="0039538B" w:rsidRPr="0039538B">
        <w:rPr>
          <w:rFonts w:ascii="Times New Roman" w:hAnsi="Times New Roman" w:cs="Times New Roman"/>
          <w:bCs/>
          <w:i/>
          <w:iCs/>
          <w:color w:val="FF0000"/>
          <w:sz w:val="24"/>
          <w:szCs w:val="24"/>
        </w:rPr>
        <w:t>Pereira</w:t>
      </w:r>
      <w:r w:rsidR="0039538B" w:rsidRPr="0039538B">
        <w:rPr>
          <w:rFonts w:ascii="Times New Roman" w:hAnsi="Times New Roman" w:cs="Times New Roman"/>
          <w:bCs/>
          <w:color w:val="FF0000"/>
          <w:sz w:val="24"/>
          <w:szCs w:val="24"/>
        </w:rPr>
        <w:t>]</w:t>
      </w:r>
    </w:p>
    <w:p w14:paraId="20453BC9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A" w14:textId="2BA48872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621345A5" w14:textId="0D55B881" w:rsidR="00A44F08" w:rsidRDefault="0027322A" w:rsidP="00A44F0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Jurisdiction still vests in the IJ, even with a defective NTA.</w:t>
      </w:r>
    </w:p>
    <w:p w14:paraId="2C93E98F" w14:textId="75772EDC" w:rsidR="0027322A" w:rsidRDefault="00E23D42" w:rsidP="00A44F0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Distinguish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Pereira</w:t>
      </w:r>
      <w:r>
        <w:rPr>
          <w:rFonts w:ascii="Times New Roman" w:hAnsi="Times New Roman" w:cs="Times New Roman"/>
          <w:bCs/>
          <w:sz w:val="24"/>
          <w:szCs w:val="24"/>
        </w:rPr>
        <w:t xml:space="preserve"> because there was never any question in that case of a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subsequent</w:t>
      </w:r>
      <w:r>
        <w:rPr>
          <w:rFonts w:ascii="Times New Roman" w:hAnsi="Times New Roman" w:cs="Times New Roman"/>
          <w:bCs/>
          <w:sz w:val="24"/>
          <w:szCs w:val="24"/>
        </w:rPr>
        <w:t xml:space="preserve"> notice curing the defective NTA</w:t>
      </w:r>
      <w:r w:rsidR="00882051">
        <w:rPr>
          <w:rFonts w:ascii="Times New Roman" w:hAnsi="Times New Roman" w:cs="Times New Roman"/>
          <w:bCs/>
          <w:sz w:val="24"/>
          <w:szCs w:val="24"/>
        </w:rPr>
        <w:t xml:space="preserve">—the respondent had already reached the requisite </w:t>
      </w:r>
      <w:proofErr w:type="gramStart"/>
      <w:r w:rsidR="00882051">
        <w:rPr>
          <w:rFonts w:ascii="Times New Roman" w:hAnsi="Times New Roman" w:cs="Times New Roman"/>
          <w:bCs/>
          <w:sz w:val="24"/>
          <w:szCs w:val="24"/>
        </w:rPr>
        <w:t>10 year</w:t>
      </w:r>
      <w:proofErr w:type="gramEnd"/>
      <w:r w:rsidR="00882051">
        <w:rPr>
          <w:rFonts w:ascii="Times New Roman" w:hAnsi="Times New Roman" w:cs="Times New Roman"/>
          <w:bCs/>
          <w:sz w:val="24"/>
          <w:szCs w:val="24"/>
        </w:rPr>
        <w:t xml:space="preserve"> mark before he got his Hearing Notice from the court with the </w:t>
      </w:r>
      <w:r w:rsidR="007A1328">
        <w:rPr>
          <w:rFonts w:ascii="Times New Roman" w:hAnsi="Times New Roman" w:cs="Times New Roman"/>
          <w:bCs/>
          <w:sz w:val="24"/>
          <w:szCs w:val="24"/>
        </w:rPr>
        <w:t>accurate information.</w:t>
      </w:r>
    </w:p>
    <w:p w14:paraId="784D9565" w14:textId="79927758" w:rsidR="00D7243A" w:rsidRDefault="00D7243A" w:rsidP="00D7243A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“Consequently, we do not read the majority decision in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Pereira</w:t>
      </w:r>
      <w:r>
        <w:rPr>
          <w:rFonts w:ascii="Times New Roman" w:hAnsi="Times New Roman" w:cs="Times New Roman"/>
          <w:bCs/>
          <w:sz w:val="24"/>
          <w:szCs w:val="24"/>
        </w:rPr>
        <w:t xml:space="preserve"> as invalidating the two-step notice process, under which a subsequently issued notice of hearing ‘cures’ or ‘perfects’ a deficient notice to appear.”</w:t>
      </w:r>
      <w:r>
        <w:rPr>
          <w:rFonts w:ascii="Times New Roman" w:hAnsi="Times New Roman" w:cs="Times New Roman"/>
          <w:bCs/>
          <w:sz w:val="24"/>
          <w:szCs w:val="24"/>
        </w:rPr>
        <w:tab/>
        <w:t>528</w:t>
      </w:r>
    </w:p>
    <w:p w14:paraId="02F9657B" w14:textId="3E90F161" w:rsidR="00812366" w:rsidRPr="00A44F08" w:rsidRDefault="00812366" w:rsidP="0081236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Purpose of NTA “can be satisfied by a combination of documents that jointly provide the notice required by statute.”</w:t>
      </w:r>
      <w:r>
        <w:rPr>
          <w:rFonts w:ascii="Times New Roman" w:hAnsi="Times New Roman" w:cs="Times New Roman"/>
          <w:bCs/>
          <w:sz w:val="24"/>
          <w:szCs w:val="24"/>
        </w:rPr>
        <w:tab/>
        <w:t>531</w:t>
      </w:r>
    </w:p>
    <w:p w14:paraId="20453BCB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C" w14:textId="23D937C3" w:rsidR="00077658" w:rsidRPr="00703CA3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Commentary:</w:t>
      </w:r>
      <w:r w:rsidR="00703CA3">
        <w:rPr>
          <w:rFonts w:ascii="Times New Roman" w:hAnsi="Times New Roman" w:cs="Times New Roman"/>
          <w:b/>
          <w:sz w:val="24"/>
          <w:szCs w:val="24"/>
        </w:rPr>
        <w:t xml:space="preserve"> Dissent</w:t>
      </w:r>
      <w:r w:rsidR="00703CA3">
        <w:rPr>
          <w:rFonts w:ascii="Times New Roman" w:hAnsi="Times New Roman" w:cs="Times New Roman"/>
          <w:bCs/>
          <w:sz w:val="24"/>
          <w:szCs w:val="24"/>
        </w:rPr>
        <w:t xml:space="preserve"> basically states the </w:t>
      </w:r>
      <w:proofErr w:type="spellStart"/>
      <w:r w:rsidR="00703CA3">
        <w:rPr>
          <w:rFonts w:ascii="Times New Roman" w:hAnsi="Times New Roman" w:cs="Times New Roman"/>
          <w:bCs/>
          <w:i/>
          <w:iCs/>
          <w:sz w:val="24"/>
          <w:szCs w:val="24"/>
        </w:rPr>
        <w:t>Niz</w:t>
      </w:r>
      <w:proofErr w:type="spellEnd"/>
      <w:r w:rsidR="00703CA3">
        <w:rPr>
          <w:rFonts w:ascii="Times New Roman" w:hAnsi="Times New Roman" w:cs="Times New Roman"/>
          <w:bCs/>
          <w:i/>
          <w:iCs/>
          <w:sz w:val="24"/>
          <w:szCs w:val="24"/>
        </w:rPr>
        <w:t>-Chavez</w:t>
      </w:r>
      <w:r w:rsidR="00703CA3">
        <w:rPr>
          <w:rFonts w:ascii="Times New Roman" w:hAnsi="Times New Roman" w:cs="Times New Roman"/>
          <w:bCs/>
          <w:sz w:val="24"/>
          <w:szCs w:val="24"/>
        </w:rPr>
        <w:t xml:space="preserve"> holding, which is what happened in 2021.</w:t>
      </w:r>
    </w:p>
    <w:sectPr w:rsidR="00077658" w:rsidRPr="00703CA3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61EE6" w14:textId="77777777" w:rsidR="005E2E30" w:rsidRDefault="005E2E30" w:rsidP="00077658">
      <w:pPr>
        <w:spacing w:after="0" w:line="240" w:lineRule="auto"/>
      </w:pPr>
      <w:r>
        <w:separator/>
      </w:r>
    </w:p>
  </w:endnote>
  <w:endnote w:type="continuationSeparator" w:id="0">
    <w:p w14:paraId="7B9484A0" w14:textId="77777777" w:rsidR="005E2E30" w:rsidRDefault="005E2E30" w:rsidP="000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9B943" w14:textId="77777777" w:rsidR="005E2E30" w:rsidRDefault="005E2E30" w:rsidP="00077658">
      <w:pPr>
        <w:spacing w:after="0" w:line="240" w:lineRule="auto"/>
      </w:pPr>
      <w:r>
        <w:separator/>
      </w:r>
    </w:p>
  </w:footnote>
  <w:footnote w:type="continuationSeparator" w:id="0">
    <w:p w14:paraId="6F9510C1" w14:textId="77777777" w:rsidR="005E2E30" w:rsidRDefault="005E2E30" w:rsidP="000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53BD1" w14:textId="68CD9923" w:rsidR="00077658" w:rsidRDefault="00886489">
    <w:pPr>
      <w:pStyle w:val="Header"/>
    </w:pPr>
    <w:r>
      <w:t>BIA</w:t>
    </w:r>
    <w:r w:rsidR="00077658">
      <w:ptab w:relativeTo="margin" w:alignment="center" w:leader="none"/>
    </w:r>
    <w:r w:rsidR="00CD3E30">
      <w:t>2019</w:t>
    </w:r>
    <w:r w:rsidR="00077658">
      <w:ptab w:relativeTo="margin" w:alignment="right" w:leader="none"/>
    </w:r>
    <w:r w:rsidR="00CD3E30">
      <w:t>Matter of Mendoza-Hernandez</w:t>
    </w:r>
  </w:p>
  <w:p w14:paraId="20453BD2" w14:textId="1311C364" w:rsidR="00077658" w:rsidRDefault="007B121C" w:rsidP="00077658">
    <w:pPr>
      <w:pStyle w:val="Header"/>
      <w:jc w:val="right"/>
    </w:pPr>
    <w:r>
      <w:t>DEFECTIVE NTA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06768E"/>
    <w:multiLevelType w:val="hybridMultilevel"/>
    <w:tmpl w:val="C6006206"/>
    <w:lvl w:ilvl="0" w:tplc="9F98FBE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32A58"/>
    <w:multiLevelType w:val="hybridMultilevel"/>
    <w:tmpl w:val="A88ED4A6"/>
    <w:lvl w:ilvl="0" w:tplc="1F48732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11C92"/>
    <w:rsid w:val="000218C3"/>
    <w:rsid w:val="00077658"/>
    <w:rsid w:val="00082A6D"/>
    <w:rsid w:val="00161DD8"/>
    <w:rsid w:val="001B742E"/>
    <w:rsid w:val="0027322A"/>
    <w:rsid w:val="0039538B"/>
    <w:rsid w:val="003A50A6"/>
    <w:rsid w:val="00414A71"/>
    <w:rsid w:val="004312B4"/>
    <w:rsid w:val="005E2E30"/>
    <w:rsid w:val="005F6239"/>
    <w:rsid w:val="0065184A"/>
    <w:rsid w:val="006A0DEE"/>
    <w:rsid w:val="00703CA3"/>
    <w:rsid w:val="00724073"/>
    <w:rsid w:val="00780BE7"/>
    <w:rsid w:val="007A1328"/>
    <w:rsid w:val="007A2834"/>
    <w:rsid w:val="007B121C"/>
    <w:rsid w:val="007D728D"/>
    <w:rsid w:val="007E6508"/>
    <w:rsid w:val="00803FB4"/>
    <w:rsid w:val="00812366"/>
    <w:rsid w:val="00812718"/>
    <w:rsid w:val="00813B81"/>
    <w:rsid w:val="00853BB1"/>
    <w:rsid w:val="00882051"/>
    <w:rsid w:val="00886489"/>
    <w:rsid w:val="008C45C8"/>
    <w:rsid w:val="009245DA"/>
    <w:rsid w:val="00936658"/>
    <w:rsid w:val="009409C2"/>
    <w:rsid w:val="009675B0"/>
    <w:rsid w:val="009812DC"/>
    <w:rsid w:val="00981C54"/>
    <w:rsid w:val="009E1BF8"/>
    <w:rsid w:val="009E2364"/>
    <w:rsid w:val="00A21572"/>
    <w:rsid w:val="00A44F08"/>
    <w:rsid w:val="00A5155B"/>
    <w:rsid w:val="00A956EF"/>
    <w:rsid w:val="00A95D6F"/>
    <w:rsid w:val="00B13A5E"/>
    <w:rsid w:val="00C04958"/>
    <w:rsid w:val="00CD34C5"/>
    <w:rsid w:val="00CD3A94"/>
    <w:rsid w:val="00CD3E30"/>
    <w:rsid w:val="00CE41B9"/>
    <w:rsid w:val="00CF08AA"/>
    <w:rsid w:val="00D067E3"/>
    <w:rsid w:val="00D17341"/>
    <w:rsid w:val="00D50345"/>
    <w:rsid w:val="00D7243A"/>
    <w:rsid w:val="00E23D42"/>
    <w:rsid w:val="00EA4C49"/>
    <w:rsid w:val="00F11A91"/>
    <w:rsid w:val="00FE500D"/>
    <w:rsid w:val="00FE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3BB7"/>
  <w15:docId w15:val="{00E3B7BA-ABDC-44B9-978B-45B2B926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503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3000</Characters>
  <Application>Microsoft Office Word</Application>
  <DocSecurity>0</DocSecurity>
  <Lines>25</Lines>
  <Paragraphs>7</Paragraphs>
  <ScaleCrop>false</ScaleCrop>
  <Company>Hewlett-Packard Company</Company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2</cp:revision>
  <dcterms:created xsi:type="dcterms:W3CDTF">2021-06-15T13:50:00Z</dcterms:created>
  <dcterms:modified xsi:type="dcterms:W3CDTF">2021-06-15T13:50:00Z</dcterms:modified>
</cp:coreProperties>
</file>