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1B9" w:rsidRPr="00077658" w:rsidRDefault="00077658" w:rsidP="00E67911">
      <w:pPr>
        <w:spacing w:after="0"/>
        <w:jc w:val="center"/>
        <w:rPr>
          <w:b/>
          <w:sz w:val="24"/>
          <w:szCs w:val="24"/>
        </w:rPr>
      </w:pPr>
      <w:r w:rsidRPr="00077658">
        <w:rPr>
          <w:b/>
          <w:sz w:val="24"/>
          <w:szCs w:val="24"/>
        </w:rPr>
        <w:t>Immigration Court:</w:t>
      </w:r>
      <w:r w:rsidR="004E7B1B">
        <w:rPr>
          <w:b/>
          <w:sz w:val="24"/>
          <w:szCs w:val="24"/>
        </w:rPr>
        <w:t xml:space="preserve"> BIA</w:t>
      </w:r>
    </w:p>
    <w:p w:rsidR="00077658" w:rsidRPr="004E7B1B" w:rsidRDefault="00077658" w:rsidP="00E67911">
      <w:pPr>
        <w:spacing w:after="0"/>
        <w:rPr>
          <w:sz w:val="24"/>
          <w:szCs w:val="24"/>
        </w:rPr>
      </w:pPr>
      <w:r w:rsidRPr="00077658">
        <w:rPr>
          <w:b/>
          <w:sz w:val="24"/>
          <w:szCs w:val="24"/>
        </w:rPr>
        <w:t>Ca</w:t>
      </w:r>
      <w:r>
        <w:rPr>
          <w:b/>
          <w:sz w:val="24"/>
          <w:szCs w:val="24"/>
        </w:rPr>
        <w:t>se:</w:t>
      </w:r>
      <w:r>
        <w:rPr>
          <w:b/>
          <w:sz w:val="24"/>
          <w:szCs w:val="24"/>
        </w:rPr>
        <w:tab/>
      </w:r>
      <w:r w:rsidR="004E7B1B">
        <w:rPr>
          <w:b/>
          <w:i/>
          <w:sz w:val="24"/>
          <w:szCs w:val="24"/>
        </w:rPr>
        <w:t xml:space="preserve">Matter of </w:t>
      </w:r>
      <w:proofErr w:type="spellStart"/>
      <w:r w:rsidR="004E7B1B">
        <w:rPr>
          <w:b/>
          <w:i/>
          <w:sz w:val="24"/>
          <w:szCs w:val="24"/>
        </w:rPr>
        <w:t>Obshatko</w:t>
      </w:r>
      <w:proofErr w:type="spellEnd"/>
      <w:r w:rsidR="004E7B1B">
        <w:rPr>
          <w:b/>
          <w:sz w:val="24"/>
          <w:szCs w:val="24"/>
        </w:rPr>
        <w:t>, 27 I&amp;N Dec. 173 (BIA 2017)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4E7B1B">
        <w:rPr>
          <w:sz w:val="24"/>
          <w:szCs w:val="24"/>
        </w:rPr>
        <w:t xml:space="preserve"> Nov. 17, 2017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Adjudicated by:</w:t>
      </w:r>
      <w:r w:rsidR="004E7B1B">
        <w:rPr>
          <w:sz w:val="24"/>
          <w:szCs w:val="24"/>
        </w:rPr>
        <w:t xml:space="preserve"> Pauley*, </w:t>
      </w:r>
      <w:proofErr w:type="spellStart"/>
      <w:r w:rsidR="004E7B1B">
        <w:rPr>
          <w:sz w:val="24"/>
          <w:szCs w:val="24"/>
        </w:rPr>
        <w:t>Malphrus</w:t>
      </w:r>
      <w:proofErr w:type="spellEnd"/>
      <w:r w:rsidR="004E7B1B">
        <w:rPr>
          <w:sz w:val="24"/>
          <w:szCs w:val="24"/>
        </w:rPr>
        <w:t>, Greer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4E7B1B" w:rsidRDefault="004E7B1B" w:rsidP="00E67911">
      <w:pPr>
        <w:spacing w:after="0"/>
        <w:rPr>
          <w:b/>
          <w:sz w:val="24"/>
          <w:szCs w:val="24"/>
        </w:rPr>
      </w:pPr>
    </w:p>
    <w:p w:rsidR="00077658" w:rsidRDefault="00077658" w:rsidP="00E6791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4E7B1B">
        <w:rPr>
          <w:sz w:val="24"/>
          <w:szCs w:val="24"/>
        </w:rPr>
        <w:t xml:space="preserve"> Cancellation of removal, protection order, Immigration Judge, “conviction,” categorical approach</w:t>
      </w:r>
    </w:p>
    <w:p w:rsidR="004E7B1B" w:rsidRPr="004E7B1B" w:rsidRDefault="004E7B1B" w:rsidP="00E67911">
      <w:pPr>
        <w:spacing w:after="0"/>
        <w:rPr>
          <w:sz w:val="24"/>
          <w:szCs w:val="24"/>
        </w:rPr>
      </w:pPr>
    </w:p>
    <w:p w:rsidR="00077658" w:rsidRPr="004E7B1B" w:rsidRDefault="00077658" w:rsidP="00E6791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Question Presented:</w:t>
      </w:r>
      <w:r w:rsidR="004E7B1B">
        <w:rPr>
          <w:sz w:val="24"/>
          <w:szCs w:val="24"/>
        </w:rPr>
        <w:t xml:space="preserve"> Is an alien disqualified from discretionary cancellation of removal because of a violation of a protection order?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Pr="004E7B1B" w:rsidRDefault="00077658" w:rsidP="00E6791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4E7B1B">
        <w:rPr>
          <w:sz w:val="24"/>
          <w:szCs w:val="24"/>
        </w:rPr>
        <w:t xml:space="preserve"> Yes, the alien is disqualified, regardless whether the language of “conviction” was used in the State court’s judgment of the violation.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Pr="004E7B1B" w:rsidRDefault="00077658" w:rsidP="00E6791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4E7B1B">
        <w:rPr>
          <w:sz w:val="24"/>
          <w:szCs w:val="24"/>
        </w:rPr>
        <w:t xml:space="preserve"> Immigration Act </w:t>
      </w:r>
      <w:r w:rsidR="00BD0FA4">
        <w:rPr>
          <w:sz w:val="24"/>
          <w:szCs w:val="24"/>
        </w:rPr>
        <w:t>“makes clear that a ‘conviction’ is not required to establish an alien’s removability.” (175)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Pr="004E7B1B" w:rsidRDefault="00077658" w:rsidP="00E6791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4E7B1B">
        <w:rPr>
          <w:sz w:val="24"/>
          <w:szCs w:val="24"/>
        </w:rPr>
        <w:t xml:space="preserve"> Native of Uzbekistan, LPR as of 2015. </w:t>
      </w:r>
      <w:proofErr w:type="gramStart"/>
      <w:r w:rsidR="004E7B1B">
        <w:rPr>
          <w:sz w:val="24"/>
          <w:szCs w:val="24"/>
        </w:rPr>
        <w:t>Convicted of ICC after violating a protection order.</w:t>
      </w:r>
      <w:proofErr w:type="gramEnd"/>
      <w:r w:rsidR="004E7B1B">
        <w:rPr>
          <w:sz w:val="24"/>
          <w:szCs w:val="24"/>
        </w:rPr>
        <w:t xml:space="preserve"> DHS initiated removal proceedings.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Default="00077658" w:rsidP="00E6791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History of the Case:</w:t>
      </w:r>
    </w:p>
    <w:p w:rsidR="004E7B1B" w:rsidRPr="004E7B1B" w:rsidRDefault="004E7B1B" w:rsidP="004E7B1B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IJ (2016):</w:t>
      </w:r>
      <w:r>
        <w:rPr>
          <w:sz w:val="24"/>
          <w:szCs w:val="24"/>
        </w:rPr>
        <w:t xml:space="preserve"> terminated removal proceedings, finding respondent not removable as an alien who has violated a protection order. (“Conviction” was not the language of the ICC judgment; leaned on categorical and modified categorical approach in analyzing removability.</w:t>
      </w:r>
      <w:r w:rsidR="007D0637">
        <w:rPr>
          <w:sz w:val="24"/>
          <w:szCs w:val="24"/>
        </w:rPr>
        <w:t xml:space="preserve"> This meant he did not admit certain evidence that had not been in the defendant’s record of conviction, but which were probative for his ICC violation.</w:t>
      </w:r>
      <w:r>
        <w:rPr>
          <w:sz w:val="24"/>
          <w:szCs w:val="24"/>
        </w:rPr>
        <w:t>)</w:t>
      </w:r>
    </w:p>
    <w:p w:rsidR="004E7B1B" w:rsidRPr="004E7B1B" w:rsidRDefault="004E7B1B" w:rsidP="004E7B1B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BIA (2017):</w:t>
      </w:r>
      <w:r>
        <w:rPr>
          <w:sz w:val="24"/>
          <w:szCs w:val="24"/>
        </w:rPr>
        <w:t xml:space="preserve"> Appeal by DHS sustained.</w:t>
      </w:r>
      <w:r w:rsidR="007D0637">
        <w:rPr>
          <w:sz w:val="24"/>
          <w:szCs w:val="24"/>
        </w:rPr>
        <w:t xml:space="preserve"> IJ’s decision vacated, case remanded so IJ can admit and consider all the evidence.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Default="00077658" w:rsidP="00E6791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 to Statute &amp; Precedent:</w:t>
      </w:r>
    </w:p>
    <w:p w:rsidR="004E7B1B" w:rsidRPr="00BD0FA4" w:rsidRDefault="004E7B1B" w:rsidP="004E7B1B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 U.S.C. </w:t>
      </w:r>
      <w:r>
        <w:rPr>
          <w:rFonts w:cstheme="minorHAnsi"/>
          <w:b/>
          <w:sz w:val="24"/>
          <w:szCs w:val="24"/>
        </w:rPr>
        <w:t>§ 1227(a</w:t>
      </w:r>
      <w:proofErr w:type="gramStart"/>
      <w:r>
        <w:rPr>
          <w:rFonts w:cstheme="minorHAnsi"/>
          <w:b/>
          <w:sz w:val="24"/>
          <w:szCs w:val="24"/>
        </w:rPr>
        <w:t>)(</w:t>
      </w:r>
      <w:proofErr w:type="gramEnd"/>
      <w:r>
        <w:rPr>
          <w:rFonts w:cstheme="minorHAnsi"/>
          <w:b/>
          <w:sz w:val="24"/>
          <w:szCs w:val="24"/>
        </w:rPr>
        <w:t>2)(E)(ii):</w:t>
      </w:r>
      <w:r>
        <w:rPr>
          <w:rFonts w:cstheme="minorHAnsi"/>
          <w:sz w:val="24"/>
          <w:szCs w:val="24"/>
        </w:rPr>
        <w:t xml:space="preserve"> Defining criminal offenses that would preclude discretionary cancellation of removal, specifically “violation of a protection order.” </w:t>
      </w:r>
      <w:r>
        <w:rPr>
          <w:rFonts w:cstheme="minorHAnsi"/>
          <w:b/>
          <w:sz w:val="24"/>
          <w:szCs w:val="24"/>
        </w:rPr>
        <w:t>[237(a)(2)(E)(ii)]</w:t>
      </w:r>
    </w:p>
    <w:p w:rsidR="00BD0FA4" w:rsidRPr="00BD0FA4" w:rsidRDefault="00BD0FA4" w:rsidP="00BD0FA4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Mellouli</w:t>
      </w:r>
      <w:proofErr w:type="spellEnd"/>
      <w:r>
        <w:rPr>
          <w:b/>
          <w:i/>
          <w:sz w:val="24"/>
          <w:szCs w:val="24"/>
        </w:rPr>
        <w:t xml:space="preserve"> v. Lynch</w:t>
      </w:r>
      <w:r>
        <w:rPr>
          <w:b/>
          <w:sz w:val="24"/>
          <w:szCs w:val="24"/>
        </w:rPr>
        <w:t>, 135 S. Ct. 1980, 1986 (2015):</w:t>
      </w:r>
      <w:r>
        <w:rPr>
          <w:sz w:val="24"/>
          <w:szCs w:val="24"/>
        </w:rPr>
        <w:t xml:space="preserve"> “The categorical approach is ‘[r]</w:t>
      </w:r>
      <w:proofErr w:type="spellStart"/>
      <w:r>
        <w:rPr>
          <w:sz w:val="24"/>
          <w:szCs w:val="24"/>
        </w:rPr>
        <w:t>ooted</w:t>
      </w:r>
      <w:proofErr w:type="spellEnd"/>
      <w:r>
        <w:rPr>
          <w:sz w:val="24"/>
          <w:szCs w:val="24"/>
        </w:rPr>
        <w:t xml:space="preserve"> in Congress’ specification of conviction, not conduct, as the trigger for immigration consequences.” </w:t>
      </w:r>
    </w:p>
    <w:p w:rsidR="00BD0FA4" w:rsidRPr="00690A92" w:rsidRDefault="007D0637" w:rsidP="004E7B1B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Matter of </w:t>
      </w:r>
      <w:proofErr w:type="spellStart"/>
      <w:r>
        <w:rPr>
          <w:b/>
          <w:i/>
          <w:sz w:val="24"/>
          <w:szCs w:val="24"/>
        </w:rPr>
        <w:t>Strydom</w:t>
      </w:r>
      <w:proofErr w:type="spellEnd"/>
      <w:r>
        <w:rPr>
          <w:b/>
          <w:sz w:val="24"/>
          <w:szCs w:val="24"/>
        </w:rPr>
        <w:t>, 25 I&amp;N Dec. 507, 510 (BIA 2011):</w:t>
      </w:r>
      <w:r>
        <w:rPr>
          <w:sz w:val="24"/>
          <w:szCs w:val="24"/>
        </w:rPr>
        <w:t xml:space="preserve"> violation of a protection order’s ‘stay-away’ provision meets threshold for disqualification for cancellation of removal. (BIA presumed that categorical approach applied in this case; the present case clarifies that this assumption was incorrect.)</w:t>
      </w:r>
    </w:p>
    <w:p w:rsidR="004E7B1B" w:rsidRDefault="004E7B1B" w:rsidP="00E67911">
      <w:pPr>
        <w:spacing w:after="0"/>
        <w:rPr>
          <w:b/>
          <w:sz w:val="24"/>
          <w:szCs w:val="24"/>
        </w:rPr>
      </w:pP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Default="00077658" w:rsidP="00E6791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Quotes:</w:t>
      </w:r>
    </w:p>
    <w:p w:rsidR="00BD0FA4" w:rsidRPr="00BD0FA4" w:rsidRDefault="00BD0FA4" w:rsidP="00BD0FA4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“The issue before us . . . is whether the fact of an alien’s conviction requires the application of the categorical and modified categorical approaches in determining removability under section </w:t>
      </w:r>
      <w:r w:rsidRPr="00BD0FA4">
        <w:rPr>
          <w:rFonts w:cstheme="minorHAnsi"/>
          <w:sz w:val="24"/>
          <w:szCs w:val="24"/>
        </w:rPr>
        <w:t>237(a)(2)(E)(ii)</w:t>
      </w:r>
      <w:r>
        <w:rPr>
          <w:rFonts w:cstheme="minorHAnsi"/>
          <w:sz w:val="24"/>
          <w:szCs w:val="24"/>
        </w:rPr>
        <w:t>, even though the statutory language clearly indicates that no conviction is necessary for the alien to be removable.” (175)</w:t>
      </w:r>
    </w:p>
    <w:p w:rsidR="00BD0FA4" w:rsidRPr="00BD0FA4" w:rsidRDefault="00BD0FA4" w:rsidP="00BD0FA4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proofErr w:type="gramStart"/>
      <w:r>
        <w:rPr>
          <w:rFonts w:cstheme="minorHAnsi"/>
          <w:sz w:val="24"/>
          <w:szCs w:val="24"/>
        </w:rPr>
        <w:t>an</w:t>
      </w:r>
      <w:proofErr w:type="gramEnd"/>
      <w:r>
        <w:rPr>
          <w:rFonts w:cstheme="minorHAnsi"/>
          <w:sz w:val="24"/>
          <w:szCs w:val="24"/>
        </w:rPr>
        <w:t xml:space="preserve"> Immigration Judge should consider the probative and reliable evidence regarding what a State court has determined about the alien’s violation.” (176-77)</w:t>
      </w:r>
    </w:p>
    <w:p w:rsidR="00077658" w:rsidRDefault="00077658" w:rsidP="00E67911">
      <w:pPr>
        <w:spacing w:after="0"/>
        <w:rPr>
          <w:b/>
          <w:sz w:val="24"/>
          <w:szCs w:val="24"/>
        </w:rPr>
      </w:pPr>
    </w:p>
    <w:p w:rsidR="00077658" w:rsidRDefault="00077658" w:rsidP="00E67911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:rsidR="00BD0FA4" w:rsidRDefault="00BD0FA4" w:rsidP="00BD0FA4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Categorical approach puts limitations on what evidence may be considered in determining an alien’s removability: only the stuff that was involved in a “conviction.” (In this case, the IJ wouldn’t admit evidence that had to do with the respondent’s ICC, because it wasn’t part of a record of “conviction.”)</w:t>
      </w:r>
    </w:p>
    <w:p w:rsidR="00BD0FA4" w:rsidRPr="00BD0FA4" w:rsidRDefault="00BD0FA4" w:rsidP="00BD0FA4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“…if the categorical approach applies to an alien who was convicted of violating a protection order, under certain circumstances he may be entitled to a more favorable outcome than an alien whose violation did not result in a conviction.” (175)</w:t>
      </w:r>
    </w:p>
    <w:sectPr w:rsidR="00BD0FA4" w:rsidRPr="00BD0FA4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D11" w:rsidRDefault="009A3D11" w:rsidP="00077658">
      <w:pPr>
        <w:spacing w:after="0" w:line="240" w:lineRule="auto"/>
      </w:pPr>
      <w:r>
        <w:separator/>
      </w:r>
    </w:p>
  </w:endnote>
  <w:endnote w:type="continuationSeparator" w:id="0">
    <w:p w:rsidR="009A3D11" w:rsidRDefault="009A3D11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D11" w:rsidRDefault="009A3D11" w:rsidP="00077658">
      <w:pPr>
        <w:spacing w:after="0" w:line="240" w:lineRule="auto"/>
      </w:pPr>
      <w:r>
        <w:separator/>
      </w:r>
    </w:p>
  </w:footnote>
  <w:footnote w:type="continuationSeparator" w:id="0">
    <w:p w:rsidR="009A3D11" w:rsidRDefault="009A3D11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658" w:rsidRDefault="00077658">
    <w:pPr>
      <w:pStyle w:val="Header"/>
    </w:pPr>
    <w:r>
      <w:t>Immigration Court</w:t>
    </w:r>
    <w:r w:rsidR="004E7B1B">
      <w:t>: BIA</w:t>
    </w:r>
    <w:r>
      <w:ptab w:relativeTo="margin" w:alignment="center" w:leader="none"/>
    </w:r>
    <w:r w:rsidR="004E7B1B">
      <w:t>2017</w:t>
    </w:r>
    <w:r>
      <w:ptab w:relativeTo="margin" w:alignment="right" w:leader="none"/>
    </w:r>
    <w:r w:rsidR="004E7B1B">
      <w:t xml:space="preserve">Matter of </w:t>
    </w:r>
    <w:proofErr w:type="spellStart"/>
    <w:r w:rsidR="004E7B1B">
      <w:t>Obshatko</w:t>
    </w:r>
    <w:proofErr w:type="spellEnd"/>
  </w:p>
  <w:p w:rsidR="00077658" w:rsidRDefault="004E7B1B" w:rsidP="00077658">
    <w:pPr>
      <w:pStyle w:val="Header"/>
      <w:jc w:val="right"/>
    </w:pPr>
    <w:r>
      <w:t>CANCELLATION OF REMOVAL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116176"/>
    <w:multiLevelType w:val="hybridMultilevel"/>
    <w:tmpl w:val="3E3CD16A"/>
    <w:lvl w:ilvl="0" w:tplc="755A88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FB2B1C"/>
    <w:multiLevelType w:val="hybridMultilevel"/>
    <w:tmpl w:val="C87E34F0"/>
    <w:lvl w:ilvl="0" w:tplc="C0F278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7658"/>
    <w:rsid w:val="00077658"/>
    <w:rsid w:val="004E7B1B"/>
    <w:rsid w:val="0069743A"/>
    <w:rsid w:val="007D0637"/>
    <w:rsid w:val="008A3CC9"/>
    <w:rsid w:val="009A3D11"/>
    <w:rsid w:val="00AB0EE1"/>
    <w:rsid w:val="00B13A5E"/>
    <w:rsid w:val="00BD0FA4"/>
    <w:rsid w:val="00CE41B9"/>
    <w:rsid w:val="00E67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7658"/>
  </w:style>
  <w:style w:type="paragraph" w:styleId="Footer">
    <w:name w:val="footer"/>
    <w:basedOn w:val="Normal"/>
    <w:link w:val="FooterChar"/>
    <w:uiPriority w:val="99"/>
    <w:semiHidden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E7B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dcterms:created xsi:type="dcterms:W3CDTF">2019-02-26T01:44:00Z</dcterms:created>
  <dcterms:modified xsi:type="dcterms:W3CDTF">2019-02-26T01:44:00Z</dcterms:modified>
</cp:coreProperties>
</file>