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53BB7" w14:textId="1BB81D6C" w:rsidR="00CE41B9" w:rsidRPr="00936658" w:rsidRDefault="00077658" w:rsidP="009366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Immigration Court:</w:t>
      </w:r>
      <w:r w:rsidR="000C4DB7">
        <w:rPr>
          <w:rFonts w:ascii="Times New Roman" w:hAnsi="Times New Roman" w:cs="Times New Roman"/>
          <w:b/>
          <w:sz w:val="24"/>
          <w:szCs w:val="24"/>
        </w:rPr>
        <w:t xml:space="preserve"> BIA</w:t>
      </w:r>
    </w:p>
    <w:p w14:paraId="20453BB8" w14:textId="3FA2138D" w:rsidR="0007765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Case: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="000C4DB7">
        <w:rPr>
          <w:rFonts w:ascii="Times New Roman" w:hAnsi="Times New Roman" w:cs="Times New Roman"/>
          <w:bCs/>
          <w:i/>
          <w:iCs/>
          <w:sz w:val="24"/>
          <w:szCs w:val="24"/>
        </w:rPr>
        <w:t>Matter of Viera-Garcia and Ordonez-Viera</w:t>
      </w:r>
      <w:r w:rsidR="00464B9C">
        <w:rPr>
          <w:rFonts w:ascii="Times New Roman" w:hAnsi="Times New Roman" w:cs="Times New Roman"/>
          <w:bCs/>
          <w:sz w:val="24"/>
          <w:szCs w:val="24"/>
        </w:rPr>
        <w:t>, 28 I&amp;N Dec. 223 (BIA 2021)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  <w:t>Date:</w:t>
      </w:r>
      <w:r w:rsidR="00AD5821">
        <w:rPr>
          <w:rFonts w:ascii="Times New Roman" w:hAnsi="Times New Roman" w:cs="Times New Roman"/>
          <w:bCs/>
          <w:sz w:val="24"/>
          <w:szCs w:val="24"/>
        </w:rPr>
        <w:t xml:space="preserve"> January 26, 2021</w:t>
      </w:r>
    </w:p>
    <w:p w14:paraId="5BD25B98" w14:textId="77777777" w:rsidR="00AD5821" w:rsidRPr="00AD5821" w:rsidRDefault="00AD5821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20453BB9" w14:textId="338FADF6" w:rsidR="00077658" w:rsidRPr="007A4E80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Adjudicated by:</w:t>
      </w:r>
      <w:r w:rsidR="007A4E80">
        <w:rPr>
          <w:rFonts w:ascii="Times New Roman" w:hAnsi="Times New Roman" w:cs="Times New Roman"/>
          <w:bCs/>
          <w:sz w:val="24"/>
          <w:szCs w:val="24"/>
        </w:rPr>
        <w:t xml:space="preserve"> Wilson, Goodwin, Donovan</w:t>
      </w:r>
    </w:p>
    <w:p w14:paraId="20453BBA" w14:textId="3FDFDC19" w:rsidR="00077658" w:rsidRPr="007A4E80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Opinion:</w:t>
      </w:r>
      <w:r w:rsidR="007A4E80">
        <w:rPr>
          <w:rFonts w:ascii="Times New Roman" w:hAnsi="Times New Roman" w:cs="Times New Roman"/>
          <w:bCs/>
          <w:sz w:val="24"/>
          <w:szCs w:val="24"/>
        </w:rPr>
        <w:t xml:space="preserve"> Wilson</w:t>
      </w:r>
    </w:p>
    <w:p w14:paraId="7EBA7287" w14:textId="77777777" w:rsidR="007A4E80" w:rsidRDefault="007A4E80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BB" w14:textId="1CFE3793" w:rsidR="0007765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Tags:</w:t>
      </w:r>
      <w:r w:rsidR="007A4E80">
        <w:rPr>
          <w:rFonts w:ascii="Times New Roman" w:hAnsi="Times New Roman" w:cs="Times New Roman"/>
          <w:bCs/>
          <w:sz w:val="24"/>
          <w:szCs w:val="24"/>
        </w:rPr>
        <w:t xml:space="preserve"> Immigration, defective NTA, Hearing Notice, </w:t>
      </w:r>
      <w:r w:rsidR="00A20945">
        <w:rPr>
          <w:rFonts w:ascii="Times New Roman" w:hAnsi="Times New Roman" w:cs="Times New Roman"/>
          <w:bCs/>
          <w:sz w:val="24"/>
          <w:szCs w:val="24"/>
        </w:rPr>
        <w:t xml:space="preserve">stop-time rule, </w:t>
      </w:r>
      <w:r w:rsidR="009576C7">
        <w:rPr>
          <w:rFonts w:ascii="Times New Roman" w:hAnsi="Times New Roman" w:cs="Times New Roman"/>
          <w:bCs/>
          <w:sz w:val="24"/>
          <w:szCs w:val="24"/>
        </w:rPr>
        <w:t xml:space="preserve">post-conclusion </w:t>
      </w:r>
      <w:r w:rsidR="00CF776D">
        <w:rPr>
          <w:rFonts w:ascii="Times New Roman" w:hAnsi="Times New Roman" w:cs="Times New Roman"/>
          <w:bCs/>
          <w:sz w:val="24"/>
          <w:szCs w:val="24"/>
        </w:rPr>
        <w:t>voluntary departure</w:t>
      </w:r>
      <w:r w:rsidR="007353FE">
        <w:rPr>
          <w:rFonts w:ascii="Times New Roman" w:hAnsi="Times New Roman" w:cs="Times New Roman"/>
          <w:bCs/>
          <w:sz w:val="24"/>
          <w:szCs w:val="24"/>
        </w:rPr>
        <w:t xml:space="preserve">, smuggling, discretionary analysis, </w:t>
      </w:r>
      <w:r w:rsidR="00C30154">
        <w:rPr>
          <w:rFonts w:ascii="Times New Roman" w:hAnsi="Times New Roman" w:cs="Times New Roman"/>
          <w:bCs/>
          <w:sz w:val="24"/>
          <w:szCs w:val="24"/>
        </w:rPr>
        <w:t>smuggling fee</w:t>
      </w:r>
    </w:p>
    <w:p w14:paraId="3EC1D3FC" w14:textId="77777777" w:rsidR="00A20945" w:rsidRPr="007A4E80" w:rsidRDefault="00A20945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692AB59E" w14:textId="5D69B39F" w:rsidR="004D632F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Question</w:t>
      </w:r>
      <w:r w:rsidR="004D632F">
        <w:rPr>
          <w:rFonts w:ascii="Times New Roman" w:hAnsi="Times New Roman" w:cs="Times New Roman"/>
          <w:b/>
          <w:sz w:val="24"/>
          <w:szCs w:val="24"/>
        </w:rPr>
        <w:t>s</w:t>
      </w:r>
      <w:r w:rsidRPr="00936658">
        <w:rPr>
          <w:rFonts w:ascii="Times New Roman" w:hAnsi="Times New Roman" w:cs="Times New Roman"/>
          <w:b/>
          <w:sz w:val="24"/>
          <w:szCs w:val="24"/>
        </w:rPr>
        <w:t xml:space="preserve"> Presented:</w:t>
      </w:r>
      <w:r w:rsidR="00A2094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B1CC516" w14:textId="3E6D8997" w:rsidR="00711C8C" w:rsidRPr="00095FBA" w:rsidRDefault="00095FBA" w:rsidP="00095FB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Does a defective NTA trigger the stop-time rule for Post-Conclusion Voluntary Departure?</w:t>
      </w:r>
    </w:p>
    <w:p w14:paraId="20453BBC" w14:textId="6E443D6E" w:rsidR="00077658" w:rsidRPr="004D632F" w:rsidRDefault="007230B7" w:rsidP="004D632F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4D632F">
        <w:rPr>
          <w:rFonts w:ascii="Times New Roman" w:hAnsi="Times New Roman" w:cs="Times New Roman"/>
          <w:bCs/>
          <w:sz w:val="24"/>
          <w:szCs w:val="24"/>
        </w:rPr>
        <w:t>Can a defective NTA be cured by the subsequent service of a Notice of Hearing specifying the missing information, for purposes of the stop-time rule</w:t>
      </w:r>
      <w:r w:rsidR="00CF776D" w:rsidRPr="004D632F">
        <w:rPr>
          <w:rFonts w:ascii="Times New Roman" w:hAnsi="Times New Roman" w:cs="Times New Roman"/>
          <w:bCs/>
          <w:sz w:val="24"/>
          <w:szCs w:val="24"/>
        </w:rPr>
        <w:t xml:space="preserve"> governing Post-Cancellation Voluntary Departure</w:t>
      </w:r>
      <w:r w:rsidRPr="004D632F">
        <w:rPr>
          <w:rFonts w:ascii="Times New Roman" w:hAnsi="Times New Roman" w:cs="Times New Roman"/>
          <w:bCs/>
          <w:sz w:val="24"/>
          <w:szCs w:val="24"/>
        </w:rPr>
        <w:t>?</w:t>
      </w:r>
    </w:p>
    <w:p w14:paraId="20453BBD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BE" w14:textId="51F25D39" w:rsidR="0007765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Holdings:</w:t>
      </w:r>
    </w:p>
    <w:p w14:paraId="59EF32B7" w14:textId="059FD1CF" w:rsidR="00A313EF" w:rsidRPr="00A313EF" w:rsidRDefault="00A313EF" w:rsidP="00A313EF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Defective NTA does not stop accrual of physical presence for PCVD either.</w:t>
      </w:r>
    </w:p>
    <w:p w14:paraId="5F40956A" w14:textId="0C8FDE6C" w:rsidR="00A313EF" w:rsidRPr="00A313EF" w:rsidRDefault="00A313EF" w:rsidP="00A313EF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Hearing notice cures th</w:t>
      </w:r>
      <w:r w:rsidR="00363328">
        <w:rPr>
          <w:rFonts w:ascii="Times New Roman" w:hAnsi="Times New Roman" w:cs="Times New Roman"/>
          <w:bCs/>
          <w:sz w:val="24"/>
          <w:szCs w:val="24"/>
        </w:rPr>
        <w:t xml:space="preserve">e defective NTA and stops accrual of physical presence. </w:t>
      </w:r>
      <w:r w:rsidR="00363328">
        <w:rPr>
          <w:rFonts w:ascii="Times New Roman" w:hAnsi="Times New Roman" w:cs="Times New Roman"/>
          <w:bCs/>
          <w:color w:val="C00000"/>
          <w:sz w:val="24"/>
          <w:szCs w:val="24"/>
        </w:rPr>
        <w:t xml:space="preserve">[Note that this holding may not last under </w:t>
      </w:r>
      <w:proofErr w:type="spellStart"/>
      <w:r w:rsidR="00363328">
        <w:rPr>
          <w:rFonts w:ascii="Times New Roman" w:hAnsi="Times New Roman" w:cs="Times New Roman"/>
          <w:bCs/>
          <w:i/>
          <w:iCs/>
          <w:color w:val="C00000"/>
          <w:sz w:val="24"/>
          <w:szCs w:val="24"/>
        </w:rPr>
        <w:t>Niz</w:t>
      </w:r>
      <w:proofErr w:type="spellEnd"/>
      <w:r w:rsidR="00363328">
        <w:rPr>
          <w:rFonts w:ascii="Times New Roman" w:hAnsi="Times New Roman" w:cs="Times New Roman"/>
          <w:bCs/>
          <w:i/>
          <w:iCs/>
          <w:color w:val="C00000"/>
          <w:sz w:val="24"/>
          <w:szCs w:val="24"/>
        </w:rPr>
        <w:t>-Chavez</w:t>
      </w:r>
      <w:r w:rsidR="00363328">
        <w:rPr>
          <w:rFonts w:ascii="Times New Roman" w:hAnsi="Times New Roman" w:cs="Times New Roman"/>
          <w:bCs/>
          <w:color w:val="C00000"/>
          <w:sz w:val="24"/>
          <w:szCs w:val="24"/>
        </w:rPr>
        <w:t>]</w:t>
      </w:r>
    </w:p>
    <w:p w14:paraId="20453BBF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0" w14:textId="0F313448" w:rsidR="00077658" w:rsidRPr="00C9417E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Rationale:</w:t>
      </w:r>
      <w:r w:rsidR="00244D0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D21C8">
        <w:rPr>
          <w:rFonts w:ascii="Times New Roman" w:hAnsi="Times New Roman" w:cs="Times New Roman"/>
          <w:bCs/>
          <w:i/>
          <w:iCs/>
          <w:sz w:val="24"/>
          <w:szCs w:val="24"/>
        </w:rPr>
        <w:t>Pereira</w:t>
      </w:r>
      <w:r w:rsidR="007D21C8">
        <w:rPr>
          <w:rFonts w:ascii="Times New Roman" w:hAnsi="Times New Roman" w:cs="Times New Roman"/>
          <w:bCs/>
          <w:sz w:val="24"/>
          <w:szCs w:val="24"/>
        </w:rPr>
        <w:t xml:space="preserve"> dictates that </w:t>
      </w:r>
      <w:r w:rsidR="00C9417E">
        <w:rPr>
          <w:rFonts w:ascii="Times New Roman" w:hAnsi="Times New Roman" w:cs="Times New Roman"/>
          <w:bCs/>
          <w:sz w:val="24"/>
          <w:szCs w:val="24"/>
        </w:rPr>
        <w:t>a defective NTA does not stop the accrual of physical presence</w:t>
      </w:r>
      <w:r w:rsidR="000B2B9A">
        <w:rPr>
          <w:rFonts w:ascii="Times New Roman" w:hAnsi="Times New Roman" w:cs="Times New Roman"/>
          <w:bCs/>
          <w:sz w:val="24"/>
          <w:szCs w:val="24"/>
        </w:rPr>
        <w:t xml:space="preserve">, so </w:t>
      </w:r>
      <w:proofErr w:type="gramStart"/>
      <w:r w:rsidR="000B2B9A">
        <w:rPr>
          <w:rFonts w:ascii="Times New Roman" w:hAnsi="Times New Roman" w:cs="Times New Roman"/>
          <w:bCs/>
          <w:sz w:val="24"/>
          <w:szCs w:val="24"/>
        </w:rPr>
        <w:t>we’ll</w:t>
      </w:r>
      <w:proofErr w:type="gramEnd"/>
      <w:r w:rsidR="000B2B9A">
        <w:rPr>
          <w:rFonts w:ascii="Times New Roman" w:hAnsi="Times New Roman" w:cs="Times New Roman"/>
          <w:bCs/>
          <w:sz w:val="24"/>
          <w:szCs w:val="24"/>
        </w:rPr>
        <w:t xml:space="preserve"> apply that to the PCVD statute too</w:t>
      </w:r>
      <w:r w:rsidR="00C9417E">
        <w:rPr>
          <w:rFonts w:ascii="Times New Roman" w:hAnsi="Times New Roman" w:cs="Times New Roman"/>
          <w:bCs/>
          <w:sz w:val="24"/>
          <w:szCs w:val="24"/>
        </w:rPr>
        <w:t xml:space="preserve">. As of the date of this decision, </w:t>
      </w:r>
      <w:r w:rsidR="00C9417E">
        <w:rPr>
          <w:rFonts w:ascii="Times New Roman" w:hAnsi="Times New Roman" w:cs="Times New Roman"/>
          <w:bCs/>
          <w:i/>
          <w:iCs/>
          <w:sz w:val="24"/>
          <w:szCs w:val="24"/>
        </w:rPr>
        <w:t>Bermudez-Cota</w:t>
      </w:r>
      <w:r w:rsidR="00C9417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A64C8">
        <w:rPr>
          <w:rFonts w:ascii="Times New Roman" w:hAnsi="Times New Roman" w:cs="Times New Roman"/>
          <w:bCs/>
          <w:sz w:val="24"/>
          <w:szCs w:val="24"/>
        </w:rPr>
        <w:t xml:space="preserve">directs that </w:t>
      </w:r>
      <w:r w:rsidR="002147F0">
        <w:rPr>
          <w:rFonts w:ascii="Times New Roman" w:hAnsi="Times New Roman" w:cs="Times New Roman"/>
          <w:bCs/>
          <w:sz w:val="24"/>
          <w:szCs w:val="24"/>
        </w:rPr>
        <w:t xml:space="preserve">a subsequent hearing notice </w:t>
      </w:r>
      <w:r w:rsidR="000B2B9A">
        <w:rPr>
          <w:rFonts w:ascii="Times New Roman" w:hAnsi="Times New Roman" w:cs="Times New Roman"/>
          <w:bCs/>
          <w:sz w:val="24"/>
          <w:szCs w:val="24"/>
        </w:rPr>
        <w:t xml:space="preserve">cures a defective NTA for purposes of the stop-time rule, so </w:t>
      </w:r>
      <w:proofErr w:type="gramStart"/>
      <w:r w:rsidR="000B2B9A">
        <w:rPr>
          <w:rFonts w:ascii="Times New Roman" w:hAnsi="Times New Roman" w:cs="Times New Roman"/>
          <w:bCs/>
          <w:sz w:val="24"/>
          <w:szCs w:val="24"/>
        </w:rPr>
        <w:t>we’ll</w:t>
      </w:r>
      <w:proofErr w:type="gramEnd"/>
      <w:r w:rsidR="000B2B9A">
        <w:rPr>
          <w:rFonts w:ascii="Times New Roman" w:hAnsi="Times New Roman" w:cs="Times New Roman"/>
          <w:bCs/>
          <w:sz w:val="24"/>
          <w:szCs w:val="24"/>
        </w:rPr>
        <w:t xml:space="preserve"> apply it to PCVD too.</w:t>
      </w:r>
    </w:p>
    <w:p w14:paraId="20453BC1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2" w14:textId="14432EB2" w:rsidR="00077658" w:rsidRPr="002F06CD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Facts:</w:t>
      </w:r>
      <w:r w:rsidR="002F06CD">
        <w:rPr>
          <w:rFonts w:ascii="Times New Roman" w:hAnsi="Times New Roman" w:cs="Times New Roman"/>
          <w:bCs/>
          <w:sz w:val="24"/>
          <w:szCs w:val="24"/>
        </w:rPr>
        <w:t xml:space="preserve"> Mother and son from El Salvador entered U.S. May 1, </w:t>
      </w:r>
      <w:proofErr w:type="gramStart"/>
      <w:r w:rsidR="002F06CD">
        <w:rPr>
          <w:rFonts w:ascii="Times New Roman" w:hAnsi="Times New Roman" w:cs="Times New Roman"/>
          <w:bCs/>
          <w:sz w:val="24"/>
          <w:szCs w:val="24"/>
        </w:rPr>
        <w:t>2014</w:t>
      </w:r>
      <w:proofErr w:type="gramEnd"/>
      <w:r w:rsidR="002F06CD">
        <w:rPr>
          <w:rFonts w:ascii="Times New Roman" w:hAnsi="Times New Roman" w:cs="Times New Roman"/>
          <w:bCs/>
          <w:sz w:val="24"/>
          <w:szCs w:val="24"/>
        </w:rPr>
        <w:t xml:space="preserve"> and were served NTAs without time and date</w:t>
      </w:r>
      <w:r w:rsidR="00CF776D">
        <w:rPr>
          <w:rFonts w:ascii="Times New Roman" w:hAnsi="Times New Roman" w:cs="Times New Roman"/>
          <w:bCs/>
          <w:sz w:val="24"/>
          <w:szCs w:val="24"/>
        </w:rPr>
        <w:t xml:space="preserve"> a couple days later. </w:t>
      </w:r>
      <w:r w:rsidR="00A94044">
        <w:rPr>
          <w:rFonts w:ascii="Times New Roman" w:hAnsi="Times New Roman" w:cs="Times New Roman"/>
          <w:bCs/>
          <w:sz w:val="24"/>
          <w:szCs w:val="24"/>
        </w:rPr>
        <w:t xml:space="preserve">Hearing notices </w:t>
      </w:r>
      <w:r w:rsidR="005924F9">
        <w:rPr>
          <w:rFonts w:ascii="Times New Roman" w:hAnsi="Times New Roman" w:cs="Times New Roman"/>
          <w:bCs/>
          <w:sz w:val="24"/>
          <w:szCs w:val="24"/>
        </w:rPr>
        <w:t xml:space="preserve">were served on May 4, 2015. </w:t>
      </w:r>
    </w:p>
    <w:p w14:paraId="20453BC3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4" w14:textId="645466BD" w:rsidR="00077658" w:rsidRDefault="00936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Procedural History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:</w:t>
      </w:r>
    </w:p>
    <w:p w14:paraId="14F65434" w14:textId="596E607A" w:rsidR="0036644F" w:rsidRPr="0036644F" w:rsidRDefault="0036644F" w:rsidP="0036644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</w:t>
      </w:r>
      <w:r w:rsidR="005D6303">
        <w:rPr>
          <w:rFonts w:ascii="Times New Roman" w:hAnsi="Times New Roman" w:cs="Times New Roman"/>
          <w:b/>
          <w:sz w:val="24"/>
          <w:szCs w:val="24"/>
        </w:rPr>
        <w:t>18: IJ—</w:t>
      </w:r>
      <w:r w:rsidR="005D6303">
        <w:rPr>
          <w:rFonts w:ascii="Times New Roman" w:hAnsi="Times New Roman" w:cs="Times New Roman"/>
          <w:bCs/>
          <w:sz w:val="24"/>
          <w:szCs w:val="24"/>
        </w:rPr>
        <w:t>request for Post-Conclusion Voluntary Departure</w:t>
      </w:r>
      <w:r w:rsidR="00155253">
        <w:rPr>
          <w:rFonts w:ascii="Times New Roman" w:hAnsi="Times New Roman" w:cs="Times New Roman"/>
          <w:bCs/>
          <w:sz w:val="24"/>
          <w:szCs w:val="24"/>
        </w:rPr>
        <w:t xml:space="preserve"> denied because IJ did not find the stop-time rule </w:t>
      </w:r>
      <w:r w:rsidR="00213CBF">
        <w:rPr>
          <w:rFonts w:ascii="Times New Roman" w:hAnsi="Times New Roman" w:cs="Times New Roman"/>
          <w:bCs/>
          <w:sz w:val="24"/>
          <w:szCs w:val="24"/>
        </w:rPr>
        <w:t>application to PCVD</w:t>
      </w:r>
      <w:r w:rsidR="00155253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155253">
        <w:rPr>
          <w:rFonts w:ascii="Times New Roman" w:hAnsi="Times New Roman" w:cs="Times New Roman"/>
          <w:bCs/>
          <w:i/>
          <w:iCs/>
          <w:sz w:val="24"/>
          <w:szCs w:val="24"/>
        </w:rPr>
        <w:t>Pereira</w:t>
      </w:r>
      <w:r w:rsidR="00155253">
        <w:rPr>
          <w:rFonts w:ascii="Times New Roman" w:hAnsi="Times New Roman" w:cs="Times New Roman"/>
          <w:bCs/>
          <w:sz w:val="24"/>
          <w:szCs w:val="24"/>
        </w:rPr>
        <w:t>.</w:t>
      </w:r>
    </w:p>
    <w:p w14:paraId="20453BC5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6" w14:textId="619EB8BC" w:rsidR="00077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Appeals to Statute &amp; Precedent:</w:t>
      </w:r>
    </w:p>
    <w:p w14:paraId="2121F3A5" w14:textId="245EAC07" w:rsidR="005D6303" w:rsidRPr="00765FBA" w:rsidRDefault="005D6303" w:rsidP="005D630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 U.S.C. </w:t>
      </w:r>
      <w:r w:rsidR="00EA26E1">
        <w:rPr>
          <w:rFonts w:ascii="Times New Roman" w:hAnsi="Times New Roman" w:cs="Times New Roman"/>
          <w:b/>
          <w:sz w:val="24"/>
          <w:szCs w:val="24"/>
        </w:rPr>
        <w:t>§1229c</w:t>
      </w:r>
      <w:r w:rsidR="00F50E03">
        <w:rPr>
          <w:rFonts w:ascii="Times New Roman" w:hAnsi="Times New Roman" w:cs="Times New Roman"/>
          <w:b/>
          <w:sz w:val="24"/>
          <w:szCs w:val="24"/>
        </w:rPr>
        <w:t xml:space="preserve">(d)(1) / INA </w:t>
      </w:r>
      <w:r w:rsidR="00F50E03">
        <w:rPr>
          <w:rFonts w:ascii="Times New Roman" w:hAnsi="Times New Roman" w:cs="Times New Roman"/>
          <w:b/>
          <w:sz w:val="24"/>
          <w:szCs w:val="24"/>
        </w:rPr>
        <w:t>§</w:t>
      </w:r>
      <w:r w:rsidR="00F50E03">
        <w:rPr>
          <w:rFonts w:ascii="Times New Roman" w:hAnsi="Times New Roman" w:cs="Times New Roman"/>
          <w:b/>
          <w:sz w:val="24"/>
          <w:szCs w:val="24"/>
        </w:rPr>
        <w:t>240A(d)(1)</w:t>
      </w:r>
      <w:r w:rsidR="00EA26E1">
        <w:rPr>
          <w:rFonts w:ascii="Times New Roman" w:hAnsi="Times New Roman" w:cs="Times New Roman"/>
          <w:b/>
          <w:sz w:val="24"/>
          <w:szCs w:val="24"/>
        </w:rPr>
        <w:t>:</w:t>
      </w:r>
      <w:r w:rsidR="00EA26E1">
        <w:rPr>
          <w:rFonts w:ascii="Times New Roman" w:hAnsi="Times New Roman" w:cs="Times New Roman"/>
          <w:bCs/>
          <w:sz w:val="24"/>
          <w:szCs w:val="24"/>
        </w:rPr>
        <w:t xml:space="preserve"> stop-time rule </w:t>
      </w:r>
      <w:r w:rsidR="008A22E8">
        <w:rPr>
          <w:rFonts w:ascii="Times New Roman" w:hAnsi="Times New Roman" w:cs="Times New Roman"/>
          <w:bCs/>
          <w:sz w:val="24"/>
          <w:szCs w:val="24"/>
        </w:rPr>
        <w:t>for post-conclusion VD (one year of physical presence before service of NTA)</w:t>
      </w:r>
    </w:p>
    <w:p w14:paraId="5EFA4E3A" w14:textId="7B9DF1F7" w:rsidR="00765FBA" w:rsidRPr="00095FBA" w:rsidRDefault="00D13438" w:rsidP="005D630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INA §240</w:t>
      </w:r>
      <w:r>
        <w:rPr>
          <w:rFonts w:ascii="Times New Roman" w:hAnsi="Times New Roman" w:cs="Times New Roman"/>
          <w:b/>
          <w:sz w:val="24"/>
          <w:szCs w:val="24"/>
        </w:rPr>
        <w:t>B(b)(1)(A):</w:t>
      </w:r>
      <w:r>
        <w:rPr>
          <w:rFonts w:ascii="Times New Roman" w:hAnsi="Times New Roman" w:cs="Times New Roman"/>
          <w:bCs/>
          <w:sz w:val="24"/>
          <w:szCs w:val="24"/>
        </w:rPr>
        <w:t xml:space="preserve"> accrual of physical presence shall be deemed to end when the alien is served a NTA under section </w:t>
      </w:r>
      <w:r>
        <w:rPr>
          <w:rFonts w:ascii="Times New Roman" w:hAnsi="Times New Roman" w:cs="Times New Roman"/>
          <w:b/>
          <w:sz w:val="24"/>
          <w:szCs w:val="24"/>
        </w:rPr>
        <w:t>239(a)</w:t>
      </w:r>
      <w:r>
        <w:rPr>
          <w:rFonts w:ascii="Times New Roman" w:hAnsi="Times New Roman" w:cs="Times New Roman"/>
          <w:bCs/>
          <w:sz w:val="24"/>
          <w:szCs w:val="24"/>
        </w:rPr>
        <w:t xml:space="preserve"> of the Act.</w:t>
      </w:r>
    </w:p>
    <w:p w14:paraId="524CB85B" w14:textId="25080D0C" w:rsidR="00095FBA" w:rsidRPr="00DA27AA" w:rsidRDefault="00095FBA" w:rsidP="005D630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lastRenderedPageBreak/>
        <w:t>Pereira v. Sessions</w:t>
      </w:r>
      <w:r w:rsidR="00E10B81">
        <w:rPr>
          <w:rFonts w:ascii="Times New Roman" w:hAnsi="Times New Roman" w:cs="Times New Roman"/>
          <w:b/>
          <w:sz w:val="24"/>
          <w:szCs w:val="24"/>
        </w:rPr>
        <w:t>, 138 S. Ct. 2015 (2018):</w:t>
      </w:r>
      <w:r w:rsidR="00E10B81">
        <w:rPr>
          <w:rFonts w:ascii="Times New Roman" w:hAnsi="Times New Roman" w:cs="Times New Roman"/>
          <w:bCs/>
          <w:sz w:val="24"/>
          <w:szCs w:val="24"/>
        </w:rPr>
        <w:t xml:space="preserve"> defective NTA </w:t>
      </w:r>
      <w:proofErr w:type="spellStart"/>
      <w:r w:rsidR="00E10B81">
        <w:rPr>
          <w:rFonts w:ascii="Times New Roman" w:hAnsi="Times New Roman" w:cs="Times New Roman"/>
          <w:bCs/>
          <w:sz w:val="24"/>
          <w:szCs w:val="24"/>
        </w:rPr>
        <w:t>ain’t</w:t>
      </w:r>
      <w:proofErr w:type="spellEnd"/>
      <w:r w:rsidR="00E10B81">
        <w:rPr>
          <w:rFonts w:ascii="Times New Roman" w:hAnsi="Times New Roman" w:cs="Times New Roman"/>
          <w:bCs/>
          <w:sz w:val="24"/>
          <w:szCs w:val="24"/>
        </w:rPr>
        <w:t xml:space="preserve"> no NTA; does not trigger stop-time rule for cancellation of removal.</w:t>
      </w:r>
    </w:p>
    <w:p w14:paraId="40E9510A" w14:textId="767761E9" w:rsidR="00DA27AA" w:rsidRPr="00BA5352" w:rsidRDefault="00DA27AA" w:rsidP="005D630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Bermudez-Cota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BC34B4">
        <w:rPr>
          <w:rFonts w:ascii="Times New Roman" w:hAnsi="Times New Roman" w:cs="Times New Roman"/>
          <w:b/>
          <w:sz w:val="24"/>
          <w:szCs w:val="24"/>
        </w:rPr>
        <w:t>27 I&amp;N Dec. 441 (BIA 2018):</w:t>
      </w:r>
      <w:r w:rsidR="00BC34B4">
        <w:rPr>
          <w:rFonts w:ascii="Times New Roman" w:hAnsi="Times New Roman" w:cs="Times New Roman"/>
          <w:bCs/>
          <w:sz w:val="24"/>
          <w:szCs w:val="24"/>
        </w:rPr>
        <w:t xml:space="preserve"> subsequent Notice of Hearing cures a defective NTA. (</w:t>
      </w:r>
      <w:proofErr w:type="gramStart"/>
      <w:r w:rsidR="00BC34B4">
        <w:rPr>
          <w:rFonts w:ascii="Times New Roman" w:hAnsi="Times New Roman" w:cs="Times New Roman"/>
          <w:bCs/>
          <w:sz w:val="24"/>
          <w:szCs w:val="24"/>
        </w:rPr>
        <w:t>overruled</w:t>
      </w:r>
      <w:proofErr w:type="gramEnd"/>
      <w:r w:rsidR="00BC34B4">
        <w:rPr>
          <w:rFonts w:ascii="Times New Roman" w:hAnsi="Times New Roman" w:cs="Times New Roman"/>
          <w:bCs/>
          <w:sz w:val="24"/>
          <w:szCs w:val="24"/>
        </w:rPr>
        <w:t xml:space="preserve"> by </w:t>
      </w:r>
      <w:proofErr w:type="spellStart"/>
      <w:r w:rsidR="00BC34B4">
        <w:rPr>
          <w:rFonts w:ascii="Times New Roman" w:hAnsi="Times New Roman" w:cs="Times New Roman"/>
          <w:bCs/>
          <w:i/>
          <w:iCs/>
          <w:sz w:val="24"/>
          <w:szCs w:val="24"/>
        </w:rPr>
        <w:t>Niz</w:t>
      </w:r>
      <w:proofErr w:type="spellEnd"/>
      <w:r w:rsidR="00BC34B4">
        <w:rPr>
          <w:rFonts w:ascii="Times New Roman" w:hAnsi="Times New Roman" w:cs="Times New Roman"/>
          <w:bCs/>
          <w:i/>
          <w:iCs/>
          <w:sz w:val="24"/>
          <w:szCs w:val="24"/>
        </w:rPr>
        <w:t>-Chavez v. Garland</w:t>
      </w:r>
      <w:r w:rsidR="00BA5352">
        <w:rPr>
          <w:rFonts w:ascii="Times New Roman" w:hAnsi="Times New Roman" w:cs="Times New Roman"/>
          <w:bCs/>
          <w:sz w:val="24"/>
          <w:szCs w:val="24"/>
        </w:rPr>
        <w:t xml:space="preserve"> (US 2021)</w:t>
      </w:r>
    </w:p>
    <w:p w14:paraId="5CF430D6" w14:textId="63BC7F2D" w:rsidR="00BA5352" w:rsidRPr="005D6303" w:rsidRDefault="00BA5352" w:rsidP="005D630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Matter of Mendoza-Hernandez and Capula Cortes</w:t>
      </w:r>
      <w:r>
        <w:rPr>
          <w:rFonts w:ascii="Times New Roman" w:hAnsi="Times New Roman" w:cs="Times New Roman"/>
          <w:b/>
          <w:sz w:val="24"/>
          <w:szCs w:val="24"/>
        </w:rPr>
        <w:t>, 27 I&amp;N Dec. 520 (BIA 2019):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A5EC0">
        <w:rPr>
          <w:rFonts w:ascii="Times New Roman" w:hAnsi="Times New Roman" w:cs="Times New Roman"/>
          <w:bCs/>
          <w:sz w:val="24"/>
          <w:szCs w:val="24"/>
        </w:rPr>
        <w:t xml:space="preserve">confirmed </w:t>
      </w:r>
      <w:r w:rsidR="000A5EC0">
        <w:rPr>
          <w:rFonts w:ascii="Times New Roman" w:hAnsi="Times New Roman" w:cs="Times New Roman"/>
          <w:bCs/>
          <w:i/>
          <w:iCs/>
          <w:sz w:val="24"/>
          <w:szCs w:val="24"/>
        </w:rPr>
        <w:t>Bermudez-</w:t>
      </w:r>
      <w:proofErr w:type="gramStart"/>
      <w:r w:rsidR="000A5EC0">
        <w:rPr>
          <w:rFonts w:ascii="Times New Roman" w:hAnsi="Times New Roman" w:cs="Times New Roman"/>
          <w:bCs/>
          <w:i/>
          <w:iCs/>
          <w:sz w:val="24"/>
          <w:szCs w:val="24"/>
        </w:rPr>
        <w:t>Cota</w:t>
      </w:r>
      <w:proofErr w:type="gramEnd"/>
    </w:p>
    <w:p w14:paraId="20453BC7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DDEC523" w14:textId="4A47AAC6" w:rsidR="009576C7" w:rsidRDefault="009576C7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Respondents’ Argument:</w:t>
      </w:r>
    </w:p>
    <w:p w14:paraId="3A6F442C" w14:textId="40B29561" w:rsidR="009576C7" w:rsidRPr="009576C7" w:rsidRDefault="009576C7" w:rsidP="009576C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 defective NTA does not trigger the stop-time rule for Post-Conclusion Voluntary Departure, per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Pereira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20453BC9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A" w14:textId="4E29F46F" w:rsidR="00077658" w:rsidRDefault="00936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:</w:t>
      </w:r>
    </w:p>
    <w:p w14:paraId="3A933046" w14:textId="75588E3C" w:rsidR="00E10B81" w:rsidRPr="00D13438" w:rsidRDefault="00E10B81" w:rsidP="00E10B8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“After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Pereira</w:t>
      </w:r>
      <w:r>
        <w:rPr>
          <w:rFonts w:ascii="Times New Roman" w:hAnsi="Times New Roman" w:cs="Times New Roman"/>
          <w:bCs/>
          <w:sz w:val="24"/>
          <w:szCs w:val="24"/>
        </w:rPr>
        <w:t>, we have considered arguments that the Supreme Court’s holding applies to cases that do not involve the ‘stop-time’ rule, but we have declined to expand the Court’s narrow holding.”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DA27AA">
        <w:rPr>
          <w:rFonts w:ascii="Times New Roman" w:hAnsi="Times New Roman" w:cs="Times New Roman"/>
          <w:bCs/>
          <w:sz w:val="24"/>
          <w:szCs w:val="24"/>
        </w:rPr>
        <w:t>225</w:t>
      </w:r>
    </w:p>
    <w:p w14:paraId="6155773A" w14:textId="336A1DD4" w:rsidR="00D13438" w:rsidRPr="00444A6B" w:rsidRDefault="00D13438" w:rsidP="00E10B8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Here: NTA was deficient; </w:t>
      </w:r>
      <w:r w:rsidR="00EB17E6">
        <w:rPr>
          <w:rFonts w:ascii="Times New Roman" w:hAnsi="Times New Roman" w:cs="Times New Roman"/>
          <w:bCs/>
          <w:sz w:val="24"/>
          <w:szCs w:val="24"/>
        </w:rPr>
        <w:t xml:space="preserve">accrual of physical presence was stopped when </w:t>
      </w:r>
      <w:r w:rsidR="006A5720">
        <w:rPr>
          <w:rFonts w:ascii="Times New Roman" w:hAnsi="Times New Roman" w:cs="Times New Roman"/>
          <w:bCs/>
          <w:sz w:val="24"/>
          <w:szCs w:val="24"/>
        </w:rPr>
        <w:t>they were served with Hearing Notices from the court.</w:t>
      </w:r>
      <w:r w:rsidR="006A5720">
        <w:rPr>
          <w:rFonts w:ascii="Times New Roman" w:hAnsi="Times New Roman" w:cs="Times New Roman"/>
          <w:bCs/>
          <w:sz w:val="24"/>
          <w:szCs w:val="24"/>
        </w:rPr>
        <w:tab/>
        <w:t>226</w:t>
      </w:r>
    </w:p>
    <w:p w14:paraId="0907186C" w14:textId="7BDE0903" w:rsidR="00444A6B" w:rsidRPr="008661E3" w:rsidRDefault="00444A6B" w:rsidP="00444A6B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661E3">
        <w:rPr>
          <w:rFonts w:ascii="Times New Roman" w:hAnsi="Times New Roman" w:cs="Times New Roman"/>
          <w:b/>
          <w:i/>
          <w:iCs/>
          <w:color w:val="C00000"/>
          <w:sz w:val="24"/>
          <w:szCs w:val="24"/>
        </w:rPr>
        <w:t>Pre-</w:t>
      </w:r>
      <w:proofErr w:type="spellStart"/>
      <w:r w:rsidRPr="008661E3">
        <w:rPr>
          <w:rFonts w:ascii="Times New Roman" w:hAnsi="Times New Roman" w:cs="Times New Roman"/>
          <w:b/>
          <w:i/>
          <w:iCs/>
          <w:color w:val="C00000"/>
          <w:sz w:val="24"/>
          <w:szCs w:val="24"/>
        </w:rPr>
        <w:t>Niz</w:t>
      </w:r>
      <w:proofErr w:type="spellEnd"/>
      <w:r w:rsidRPr="008661E3">
        <w:rPr>
          <w:rFonts w:ascii="Times New Roman" w:hAnsi="Times New Roman" w:cs="Times New Roman"/>
          <w:b/>
          <w:i/>
          <w:iCs/>
          <w:color w:val="C00000"/>
          <w:sz w:val="24"/>
          <w:szCs w:val="24"/>
        </w:rPr>
        <w:t>-Chavez:</w:t>
      </w:r>
      <w:r w:rsidRPr="008661E3">
        <w:rPr>
          <w:rFonts w:ascii="Times New Roman" w:hAnsi="Times New Roman" w:cs="Times New Roman"/>
          <w:bCs/>
          <w:i/>
          <w:iCs/>
          <w:color w:val="C00000"/>
          <w:sz w:val="24"/>
          <w:szCs w:val="24"/>
        </w:rPr>
        <w:t xml:space="preserve"> does not answer the question whether the two-step process is applicable in Post-Conclusion Voluntary Departure cases.</w:t>
      </w:r>
    </w:p>
    <w:p w14:paraId="100CB6B9" w14:textId="55C3AE64" w:rsidR="008661E3" w:rsidRPr="00947186" w:rsidRDefault="00A313EF" w:rsidP="00A313EF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But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they’d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made it one year, so case gets remanded.</w:t>
      </w:r>
    </w:p>
    <w:p w14:paraId="4F0619A7" w14:textId="70C80C12" w:rsidR="00947186" w:rsidRPr="00C30154" w:rsidRDefault="006E5392" w:rsidP="00947186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color w:val="4F81BD" w:themeColor="accent1"/>
          <w:sz w:val="24"/>
          <w:szCs w:val="24"/>
        </w:rPr>
      </w:pPr>
      <w:r w:rsidRPr="00C30154">
        <w:rPr>
          <w:rFonts w:ascii="Times New Roman" w:hAnsi="Times New Roman" w:cs="Times New Roman"/>
          <w:bCs/>
          <w:color w:val="4F81BD" w:themeColor="accent1"/>
          <w:sz w:val="24"/>
          <w:szCs w:val="24"/>
        </w:rPr>
        <w:t>Discretion re. PCVD:</w:t>
      </w:r>
    </w:p>
    <w:p w14:paraId="458400E1" w14:textId="263BED57" w:rsidR="006E5392" w:rsidRPr="007353FE" w:rsidRDefault="006E5392" w:rsidP="006E5392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Denied because IJ noted that </w:t>
      </w:r>
      <w:r w:rsidR="007353FE">
        <w:rPr>
          <w:rFonts w:ascii="Times New Roman" w:hAnsi="Times New Roman" w:cs="Times New Roman"/>
          <w:bCs/>
          <w:sz w:val="24"/>
          <w:szCs w:val="24"/>
        </w:rPr>
        <w:t xml:space="preserve">respondent had paid $10K to a smuggler to bring them—but </w:t>
      </w:r>
      <w:proofErr w:type="gramStart"/>
      <w:r w:rsidR="007353FE">
        <w:rPr>
          <w:rFonts w:ascii="Times New Roman" w:hAnsi="Times New Roman" w:cs="Times New Roman"/>
          <w:bCs/>
          <w:sz w:val="24"/>
          <w:szCs w:val="24"/>
        </w:rPr>
        <w:t>actually it</w:t>
      </w:r>
      <w:proofErr w:type="gramEnd"/>
      <w:r w:rsidR="007353FE">
        <w:rPr>
          <w:rFonts w:ascii="Times New Roman" w:hAnsi="Times New Roman" w:cs="Times New Roman"/>
          <w:bCs/>
          <w:sz w:val="24"/>
          <w:szCs w:val="24"/>
        </w:rPr>
        <w:t xml:space="preserve"> was her mother who paid.</w:t>
      </w:r>
    </w:p>
    <w:p w14:paraId="2D317ADD" w14:textId="17869008" w:rsidR="007353FE" w:rsidRPr="00E10B81" w:rsidRDefault="007353FE" w:rsidP="007353FE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“The significance of this factual error to the discretionary analysis may depend on the respondents’ knowledge of and involvement in the smuggling.”</w:t>
      </w:r>
      <w:r>
        <w:rPr>
          <w:rFonts w:ascii="Times New Roman" w:hAnsi="Times New Roman" w:cs="Times New Roman"/>
          <w:b/>
          <w:sz w:val="24"/>
          <w:szCs w:val="24"/>
        </w:rPr>
        <w:tab/>
        <w:t>227</w:t>
      </w:r>
    </w:p>
    <w:p w14:paraId="20453BCB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077658" w:rsidRPr="00936658" w:rsidSect="00CE41B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777962" w14:textId="77777777" w:rsidR="005E2E30" w:rsidRDefault="005E2E30" w:rsidP="00077658">
      <w:pPr>
        <w:spacing w:after="0" w:line="240" w:lineRule="auto"/>
      </w:pPr>
      <w:r>
        <w:separator/>
      </w:r>
    </w:p>
  </w:endnote>
  <w:endnote w:type="continuationSeparator" w:id="0">
    <w:p w14:paraId="7F13FAB5" w14:textId="77777777" w:rsidR="005E2E30" w:rsidRDefault="005E2E30" w:rsidP="00077658">
      <w:pPr>
        <w:spacing w:after="0" w:line="240" w:lineRule="auto"/>
      </w:pPr>
      <w:r>
        <w:continuationSeparator/>
      </w:r>
    </w:p>
  </w:endnote>
  <w:endnote w:type="continuationNotice" w:id="1">
    <w:p w14:paraId="4EA4B5D7" w14:textId="77777777" w:rsidR="004E46DF" w:rsidRDefault="004E46D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F8151F" w14:textId="77777777" w:rsidR="005E2E30" w:rsidRDefault="005E2E30" w:rsidP="00077658">
      <w:pPr>
        <w:spacing w:after="0" w:line="240" w:lineRule="auto"/>
      </w:pPr>
      <w:r>
        <w:separator/>
      </w:r>
    </w:p>
  </w:footnote>
  <w:footnote w:type="continuationSeparator" w:id="0">
    <w:p w14:paraId="0430245E" w14:textId="77777777" w:rsidR="005E2E30" w:rsidRDefault="005E2E30" w:rsidP="00077658">
      <w:pPr>
        <w:spacing w:after="0" w:line="240" w:lineRule="auto"/>
      </w:pPr>
      <w:r>
        <w:continuationSeparator/>
      </w:r>
    </w:p>
  </w:footnote>
  <w:footnote w:type="continuationNotice" w:id="1">
    <w:p w14:paraId="3A2D7035" w14:textId="77777777" w:rsidR="004E46DF" w:rsidRDefault="004E46D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53BD1" w14:textId="45F16E35" w:rsidR="00077658" w:rsidRDefault="00886489">
    <w:pPr>
      <w:pStyle w:val="Header"/>
    </w:pPr>
    <w:r>
      <w:t>BIA</w:t>
    </w:r>
    <w:r w:rsidR="00077658">
      <w:ptab w:relativeTo="margin" w:alignment="center" w:leader="none"/>
    </w:r>
    <w:r w:rsidR="000C4DB7">
      <w:t>2021</w:t>
    </w:r>
    <w:r w:rsidR="00077658">
      <w:ptab w:relativeTo="margin" w:alignment="right" w:leader="none"/>
    </w:r>
    <w:r w:rsidR="000C4DB7">
      <w:t>Matter of Viera Garcia</w:t>
    </w:r>
  </w:p>
  <w:p w14:paraId="20453BD2" w14:textId="1F407F87" w:rsidR="00077658" w:rsidRDefault="000C4DB7" w:rsidP="00077658">
    <w:pPr>
      <w:pStyle w:val="Header"/>
      <w:jc w:val="right"/>
    </w:pPr>
    <w:r>
      <w:t>DEFECTIVE NTA</w:t>
    </w:r>
    <w:r w:rsidR="00CF776D">
      <w:t xml:space="preserve"> &amp; VD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635C4B"/>
    <w:multiLevelType w:val="hybridMultilevel"/>
    <w:tmpl w:val="DEF61A3E"/>
    <w:lvl w:ilvl="0" w:tplc="BFB2A8F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F44A01"/>
    <w:multiLevelType w:val="hybridMultilevel"/>
    <w:tmpl w:val="68E221F0"/>
    <w:lvl w:ilvl="0" w:tplc="CD746CC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658"/>
    <w:rsid w:val="000210E4"/>
    <w:rsid w:val="00077658"/>
    <w:rsid w:val="00095FBA"/>
    <w:rsid w:val="000A5EC0"/>
    <w:rsid w:val="000B2B9A"/>
    <w:rsid w:val="000C4DB7"/>
    <w:rsid w:val="000D1C55"/>
    <w:rsid w:val="00155253"/>
    <w:rsid w:val="00213CBF"/>
    <w:rsid w:val="002147F0"/>
    <w:rsid w:val="00244D04"/>
    <w:rsid w:val="002F06CD"/>
    <w:rsid w:val="00363328"/>
    <w:rsid w:val="0036644F"/>
    <w:rsid w:val="00414A71"/>
    <w:rsid w:val="00444A6B"/>
    <w:rsid w:val="00464B9C"/>
    <w:rsid w:val="004D632F"/>
    <w:rsid w:val="004E46DF"/>
    <w:rsid w:val="005924F9"/>
    <w:rsid w:val="005D6303"/>
    <w:rsid w:val="005E2E30"/>
    <w:rsid w:val="006A5720"/>
    <w:rsid w:val="006C0C42"/>
    <w:rsid w:val="006E5392"/>
    <w:rsid w:val="00711C8C"/>
    <w:rsid w:val="007230B7"/>
    <w:rsid w:val="00724073"/>
    <w:rsid w:val="007353FE"/>
    <w:rsid w:val="00740631"/>
    <w:rsid w:val="00765FBA"/>
    <w:rsid w:val="007A4E80"/>
    <w:rsid w:val="007D21C8"/>
    <w:rsid w:val="008661E3"/>
    <w:rsid w:val="00886489"/>
    <w:rsid w:val="008A22E8"/>
    <w:rsid w:val="00936658"/>
    <w:rsid w:val="00947186"/>
    <w:rsid w:val="009576C7"/>
    <w:rsid w:val="00A20945"/>
    <w:rsid w:val="00A313EF"/>
    <w:rsid w:val="00A94044"/>
    <w:rsid w:val="00AD5821"/>
    <w:rsid w:val="00B13A5E"/>
    <w:rsid w:val="00BA5352"/>
    <w:rsid w:val="00BC34B4"/>
    <w:rsid w:val="00C30154"/>
    <w:rsid w:val="00C9417E"/>
    <w:rsid w:val="00CE41B9"/>
    <w:rsid w:val="00CF776D"/>
    <w:rsid w:val="00D13438"/>
    <w:rsid w:val="00DA27AA"/>
    <w:rsid w:val="00E012A1"/>
    <w:rsid w:val="00E10B81"/>
    <w:rsid w:val="00EA26E1"/>
    <w:rsid w:val="00EA64C8"/>
    <w:rsid w:val="00EB17E6"/>
    <w:rsid w:val="00F50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53BB7"/>
  <w15:docId w15:val="{00E3B7BA-ABDC-44B9-978B-45B2B9269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1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658"/>
  </w:style>
  <w:style w:type="paragraph" w:styleId="Footer">
    <w:name w:val="footer"/>
    <w:basedOn w:val="Normal"/>
    <w:link w:val="Foot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7658"/>
  </w:style>
  <w:style w:type="paragraph" w:styleId="BalloonText">
    <w:name w:val="Balloon Text"/>
    <w:basedOn w:val="Normal"/>
    <w:link w:val="BalloonTextChar"/>
    <w:uiPriority w:val="99"/>
    <w:semiHidden/>
    <w:unhideWhenUsed/>
    <w:rsid w:val="00077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6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664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470</Words>
  <Characters>2680</Characters>
  <Application>Microsoft Office Word</Application>
  <DocSecurity>0</DocSecurity>
  <Lines>22</Lines>
  <Paragraphs>6</Paragraphs>
  <ScaleCrop>false</ScaleCrop>
  <Company>Hewlett-Packard Company</Company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49</cp:revision>
  <dcterms:created xsi:type="dcterms:W3CDTF">2021-06-15T13:59:00Z</dcterms:created>
  <dcterms:modified xsi:type="dcterms:W3CDTF">2021-06-15T14:36:00Z</dcterms:modified>
</cp:coreProperties>
</file>