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364583" w14:textId="77777777" w:rsidR="00144D3B" w:rsidRPr="00ED7609" w:rsidRDefault="00144D3B" w:rsidP="00C87419">
      <w:pPr>
        <w:spacing w:after="0"/>
        <w:rPr>
          <w:rFonts w:ascii="Times New Roman" w:hAnsi="Times New Roman" w:cs="Times New Roman"/>
        </w:rPr>
      </w:pPr>
    </w:p>
    <w:p w14:paraId="3C157547" w14:textId="504BDE61" w:rsidR="00E16E68" w:rsidRPr="00ED7609" w:rsidRDefault="003D162C" w:rsidP="00C8741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Third </w:t>
      </w:r>
      <w:r w:rsidR="006C420B" w:rsidRPr="00ED7609">
        <w:rPr>
          <w:rFonts w:ascii="Times New Roman" w:hAnsi="Times New Roman" w:cs="Times New Roman"/>
          <w:b/>
          <w:sz w:val="24"/>
          <w:szCs w:val="24"/>
        </w:rPr>
        <w:t>Circuit</w:t>
      </w:r>
      <w:r w:rsidR="0016476D" w:rsidRPr="00ED7609">
        <w:rPr>
          <w:rFonts w:ascii="Times New Roman" w:hAnsi="Times New Roman" w:cs="Times New Roman"/>
          <w:b/>
          <w:sz w:val="24"/>
          <w:szCs w:val="24"/>
        </w:rPr>
        <w:t xml:space="preserve"> Court</w:t>
      </w:r>
    </w:p>
    <w:p w14:paraId="1E40F199" w14:textId="77777777" w:rsidR="00C87419" w:rsidRPr="00ED7609" w:rsidRDefault="00C87419" w:rsidP="00C8741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A32EAB5" w14:textId="77777777" w:rsidR="00FA1427" w:rsidRDefault="00E16E68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Case:</w:t>
      </w:r>
      <w:r w:rsidR="008E5B66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8C25CD">
        <w:rPr>
          <w:rFonts w:ascii="Times New Roman" w:hAnsi="Times New Roman" w:cs="Times New Roman"/>
          <w:bCs/>
          <w:i/>
          <w:iCs/>
          <w:sz w:val="24"/>
          <w:szCs w:val="24"/>
        </w:rPr>
        <w:t>Ndayshimiye v. A.G.</w:t>
      </w:r>
      <w:r w:rsidR="008C25CD">
        <w:rPr>
          <w:rFonts w:ascii="Times New Roman" w:hAnsi="Times New Roman" w:cs="Times New Roman"/>
          <w:bCs/>
          <w:sz w:val="24"/>
          <w:szCs w:val="24"/>
        </w:rPr>
        <w:t>, 557 F.3d 124 (3d Cir. 2009)</w:t>
      </w:r>
      <w:r w:rsidR="00285F90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285F90" w:rsidRPr="00FA1427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[Follows from </w:t>
      </w:r>
      <w:r w:rsidR="00FA1427" w:rsidRPr="00FA1427">
        <w:rPr>
          <w:rFonts w:ascii="Times New Roman" w:hAnsi="Times New Roman" w:cs="Times New Roman"/>
          <w:b/>
          <w:i/>
          <w:iCs/>
          <w:color w:val="C00000"/>
          <w:sz w:val="24"/>
          <w:szCs w:val="24"/>
        </w:rPr>
        <w:t>In re J-B-N- &amp; S-M-</w:t>
      </w:r>
      <w:r w:rsidR="00FA1427" w:rsidRPr="00FA1427">
        <w:rPr>
          <w:rFonts w:ascii="Times New Roman" w:hAnsi="Times New Roman" w:cs="Times New Roman"/>
          <w:b/>
          <w:color w:val="C00000"/>
          <w:sz w:val="24"/>
          <w:szCs w:val="24"/>
        </w:rPr>
        <w:t>, 24 I&amp;N Dec. 208 (BIA 2007)]</w:t>
      </w:r>
      <w:r w:rsidR="00FA1427">
        <w:rPr>
          <w:rFonts w:ascii="Times New Roman" w:hAnsi="Times New Roman" w:cs="Times New Roman"/>
          <w:b/>
          <w:sz w:val="24"/>
          <w:szCs w:val="24"/>
        </w:rPr>
        <w:tab/>
      </w:r>
      <w:r w:rsidR="00FA1427">
        <w:rPr>
          <w:rFonts w:ascii="Times New Roman" w:hAnsi="Times New Roman" w:cs="Times New Roman"/>
          <w:b/>
          <w:sz w:val="24"/>
          <w:szCs w:val="24"/>
        </w:rPr>
        <w:tab/>
      </w:r>
      <w:r w:rsidR="008E5B66" w:rsidRPr="00ED7609">
        <w:rPr>
          <w:rFonts w:ascii="Times New Roman" w:hAnsi="Times New Roman" w:cs="Times New Roman"/>
          <w:b/>
          <w:sz w:val="24"/>
          <w:szCs w:val="24"/>
        </w:rPr>
        <w:t>Date:</w:t>
      </w:r>
      <w:r w:rsidR="008E5B66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8C25CD">
        <w:rPr>
          <w:rFonts w:ascii="Times New Roman" w:hAnsi="Times New Roman" w:cs="Times New Roman"/>
          <w:bCs/>
          <w:sz w:val="24"/>
          <w:szCs w:val="24"/>
        </w:rPr>
        <w:t>Feb. 24, 2009</w:t>
      </w:r>
      <w:r w:rsidR="008E5B66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A65C5C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A65C5C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A65C5C" w:rsidRPr="00ED7609">
        <w:rPr>
          <w:rFonts w:ascii="Times New Roman" w:hAnsi="Times New Roman" w:cs="Times New Roman"/>
          <w:b/>
          <w:sz w:val="24"/>
          <w:szCs w:val="24"/>
        </w:rPr>
        <w:tab/>
      </w:r>
    </w:p>
    <w:p w14:paraId="4DC4FCC0" w14:textId="363809BA" w:rsidR="00E16E68" w:rsidRPr="00FA1427" w:rsidRDefault="007F7A38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Panel</w:t>
      </w:r>
      <w:r w:rsidR="008E5B66" w:rsidRPr="00ED7609">
        <w:rPr>
          <w:rFonts w:ascii="Times New Roman" w:hAnsi="Times New Roman" w:cs="Times New Roman"/>
          <w:b/>
          <w:sz w:val="24"/>
          <w:szCs w:val="24"/>
        </w:rPr>
        <w:t>:</w:t>
      </w:r>
      <w:r w:rsidR="00757CDB" w:rsidRPr="00ED7609">
        <w:rPr>
          <w:rFonts w:ascii="Times New Roman" w:hAnsi="Times New Roman" w:cs="Times New Roman"/>
          <w:sz w:val="24"/>
          <w:szCs w:val="24"/>
        </w:rPr>
        <w:t xml:space="preserve"> </w:t>
      </w:r>
      <w:r w:rsidR="00A94F93">
        <w:rPr>
          <w:rFonts w:ascii="Times New Roman" w:hAnsi="Times New Roman" w:cs="Times New Roman"/>
          <w:sz w:val="24"/>
          <w:szCs w:val="24"/>
        </w:rPr>
        <w:t>Scirica, Fuentes, Hardiman</w:t>
      </w:r>
      <w:r w:rsidR="00FA1427">
        <w:rPr>
          <w:rFonts w:ascii="Times New Roman" w:hAnsi="Times New Roman" w:cs="Times New Roman"/>
          <w:b/>
          <w:sz w:val="24"/>
          <w:szCs w:val="24"/>
        </w:rPr>
        <w:tab/>
      </w:r>
      <w:r w:rsidR="00FA1427">
        <w:rPr>
          <w:rFonts w:ascii="Times New Roman" w:hAnsi="Times New Roman" w:cs="Times New Roman"/>
          <w:b/>
          <w:sz w:val="24"/>
          <w:szCs w:val="24"/>
        </w:rPr>
        <w:tab/>
      </w:r>
      <w:r w:rsidR="00FA1427">
        <w:rPr>
          <w:rFonts w:ascii="Times New Roman" w:hAnsi="Times New Roman" w:cs="Times New Roman"/>
          <w:b/>
          <w:sz w:val="24"/>
          <w:szCs w:val="24"/>
        </w:rPr>
        <w:tab/>
      </w:r>
      <w:r w:rsidR="008E5B66" w:rsidRPr="00ED7609">
        <w:rPr>
          <w:rFonts w:ascii="Times New Roman" w:hAnsi="Times New Roman" w:cs="Times New Roman"/>
          <w:b/>
          <w:sz w:val="24"/>
          <w:szCs w:val="24"/>
        </w:rPr>
        <w:t>Opinion</w:t>
      </w:r>
      <w:r w:rsidR="00E16E68" w:rsidRPr="00ED7609">
        <w:rPr>
          <w:rFonts w:ascii="Times New Roman" w:hAnsi="Times New Roman" w:cs="Times New Roman"/>
          <w:b/>
          <w:sz w:val="24"/>
          <w:szCs w:val="24"/>
        </w:rPr>
        <w:t>:</w:t>
      </w:r>
      <w:r w:rsidR="00A94F93">
        <w:rPr>
          <w:rFonts w:ascii="Times New Roman" w:hAnsi="Times New Roman" w:cs="Times New Roman"/>
          <w:bCs/>
          <w:sz w:val="24"/>
          <w:szCs w:val="24"/>
        </w:rPr>
        <w:t xml:space="preserve"> Fuentes</w:t>
      </w:r>
      <w:r w:rsidR="00757CDB" w:rsidRPr="00ED7609"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</w:p>
    <w:p w14:paraId="19212F57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921CB10" w14:textId="5F71E55E" w:rsidR="00E16E68" w:rsidRPr="00ED7609" w:rsidRDefault="00E16E68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Tags:</w:t>
      </w:r>
      <w:r w:rsidR="00757CDB" w:rsidRPr="00ED7609">
        <w:rPr>
          <w:rFonts w:ascii="Times New Roman" w:hAnsi="Times New Roman" w:cs="Times New Roman"/>
          <w:sz w:val="24"/>
          <w:szCs w:val="24"/>
        </w:rPr>
        <w:t xml:space="preserve"> </w:t>
      </w:r>
      <w:r w:rsidR="00A94F93">
        <w:rPr>
          <w:rFonts w:ascii="Times New Roman" w:hAnsi="Times New Roman" w:cs="Times New Roman"/>
          <w:sz w:val="24"/>
          <w:szCs w:val="24"/>
        </w:rPr>
        <w:t>Immigration, asylum, persecution, mixed motives, nexus, protected ground</w:t>
      </w:r>
    </w:p>
    <w:p w14:paraId="1077EFF8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43DB7B0" w14:textId="28B3E8A7" w:rsidR="00E16E68" w:rsidRPr="00ED7609" w:rsidRDefault="008E5B66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Question(s) Presented</w:t>
      </w:r>
      <w:r w:rsidR="00E16E68" w:rsidRPr="00ED7609">
        <w:rPr>
          <w:rFonts w:ascii="Times New Roman" w:hAnsi="Times New Roman" w:cs="Times New Roman"/>
          <w:b/>
          <w:sz w:val="24"/>
          <w:szCs w:val="24"/>
        </w:rPr>
        <w:t>:</w:t>
      </w:r>
      <w:r w:rsidR="00757CDB" w:rsidRPr="00ED7609">
        <w:rPr>
          <w:rFonts w:ascii="Times New Roman" w:hAnsi="Times New Roman" w:cs="Times New Roman"/>
          <w:sz w:val="24"/>
          <w:szCs w:val="24"/>
        </w:rPr>
        <w:t xml:space="preserve"> </w:t>
      </w:r>
      <w:r w:rsidR="00180DFF">
        <w:rPr>
          <w:rFonts w:ascii="Times New Roman" w:hAnsi="Times New Roman" w:cs="Times New Roman"/>
          <w:sz w:val="24"/>
          <w:szCs w:val="24"/>
        </w:rPr>
        <w:t>Was the persecution based on protected ground</w:t>
      </w:r>
      <w:r w:rsidR="00332E0B">
        <w:rPr>
          <w:rFonts w:ascii="Times New Roman" w:hAnsi="Times New Roman" w:cs="Times New Roman"/>
          <w:sz w:val="24"/>
          <w:szCs w:val="24"/>
        </w:rPr>
        <w:t>, as at least one motivation?</w:t>
      </w:r>
    </w:p>
    <w:p w14:paraId="2EBCB66D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8AF451F" w14:textId="6F75F8FC" w:rsidR="00E16E68" w:rsidRPr="00ED7609" w:rsidRDefault="00E16E68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Holdings:</w:t>
      </w:r>
      <w:r w:rsidR="00CC7EEE" w:rsidRPr="00ED7609">
        <w:rPr>
          <w:rFonts w:ascii="Times New Roman" w:hAnsi="Times New Roman" w:cs="Times New Roman"/>
          <w:sz w:val="24"/>
          <w:szCs w:val="24"/>
        </w:rPr>
        <w:t xml:space="preserve"> </w:t>
      </w:r>
      <w:r w:rsidR="009F3627">
        <w:rPr>
          <w:rFonts w:ascii="Times New Roman" w:hAnsi="Times New Roman" w:cs="Times New Roman"/>
          <w:sz w:val="24"/>
          <w:szCs w:val="24"/>
        </w:rPr>
        <w:t>Petition denied.</w:t>
      </w:r>
      <w:r w:rsidR="00EF5CB3">
        <w:rPr>
          <w:rFonts w:ascii="Times New Roman" w:hAnsi="Times New Roman" w:cs="Times New Roman"/>
          <w:sz w:val="24"/>
          <w:szCs w:val="24"/>
        </w:rPr>
        <w:t xml:space="preserve"> BIA affirmed.</w:t>
      </w:r>
      <w:r w:rsidR="00C66927">
        <w:rPr>
          <w:rFonts w:ascii="Times New Roman" w:hAnsi="Times New Roman" w:cs="Times New Roman"/>
          <w:sz w:val="24"/>
          <w:szCs w:val="24"/>
        </w:rPr>
        <w:t xml:space="preserve"> A ground-based motive for persecution may be dismissed if it is merely incidental, </w:t>
      </w:r>
      <w:r w:rsidR="00D46335">
        <w:rPr>
          <w:rFonts w:ascii="Times New Roman" w:hAnsi="Times New Roman" w:cs="Times New Roman"/>
          <w:sz w:val="24"/>
          <w:szCs w:val="24"/>
        </w:rPr>
        <w:t>tangential, or superficial. 130</w:t>
      </w:r>
      <w:r w:rsidR="00C6692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FB81B8" w14:textId="77777777" w:rsidR="00A65C5C" w:rsidRPr="00ED7609" w:rsidRDefault="00A65C5C" w:rsidP="00C874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F782D26" w14:textId="0D934EE8" w:rsidR="00053510" w:rsidRPr="00ED7609" w:rsidRDefault="00A65C5C" w:rsidP="0005351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Rationale:</w:t>
      </w:r>
      <w:r w:rsidR="000535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53510">
        <w:rPr>
          <w:rFonts w:ascii="Times New Roman" w:hAnsi="Times New Roman" w:cs="Times New Roman"/>
          <w:sz w:val="24"/>
          <w:szCs w:val="24"/>
        </w:rPr>
        <w:t xml:space="preserve">“BIA’s rationale that petitioners’ Burundian background was at most </w:t>
      </w:r>
      <w:r w:rsidR="00053510" w:rsidRPr="00053510">
        <w:rPr>
          <w:rFonts w:ascii="Times New Roman" w:hAnsi="Times New Roman" w:cs="Times New Roman"/>
          <w:b/>
          <w:bCs/>
          <w:sz w:val="24"/>
          <w:szCs w:val="24"/>
        </w:rPr>
        <w:t>incidental</w:t>
      </w:r>
      <w:r w:rsidR="00053510">
        <w:rPr>
          <w:rFonts w:ascii="Times New Roman" w:hAnsi="Times New Roman" w:cs="Times New Roman"/>
          <w:sz w:val="24"/>
          <w:szCs w:val="24"/>
        </w:rPr>
        <w:t xml:space="preserve"> to other reasons for their persecution does support the Board’s ultimate conclusion.”</w:t>
      </w:r>
      <w:r w:rsidR="00053510">
        <w:rPr>
          <w:rFonts w:ascii="Times New Roman" w:hAnsi="Times New Roman" w:cs="Times New Roman"/>
          <w:sz w:val="24"/>
          <w:szCs w:val="24"/>
        </w:rPr>
        <w:t xml:space="preserve"> </w:t>
      </w:r>
      <w:r w:rsidR="00053510">
        <w:rPr>
          <w:rFonts w:ascii="Times New Roman" w:hAnsi="Times New Roman" w:cs="Times New Roman"/>
          <w:sz w:val="24"/>
          <w:szCs w:val="24"/>
        </w:rPr>
        <w:tab/>
        <w:t>126</w:t>
      </w:r>
    </w:p>
    <w:p w14:paraId="6B527847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5DD352D" w14:textId="60C59FBF" w:rsidR="008E5B66" w:rsidRPr="00394704" w:rsidRDefault="008E5B66" w:rsidP="008E5B66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Facts:</w:t>
      </w:r>
      <w:r w:rsidR="00394704">
        <w:rPr>
          <w:rFonts w:ascii="Times New Roman" w:hAnsi="Times New Roman" w:cs="Times New Roman"/>
          <w:bCs/>
          <w:sz w:val="24"/>
          <w:szCs w:val="24"/>
        </w:rPr>
        <w:t xml:space="preserve"> Rwandan citizen</w:t>
      </w:r>
      <w:r w:rsidR="00137DDA">
        <w:rPr>
          <w:rFonts w:ascii="Times New Roman" w:hAnsi="Times New Roman" w:cs="Times New Roman"/>
          <w:bCs/>
          <w:sz w:val="24"/>
          <w:szCs w:val="24"/>
        </w:rPr>
        <w:t xml:space="preserve"> couple</w:t>
      </w:r>
      <w:r w:rsidR="00EE062F">
        <w:rPr>
          <w:rFonts w:ascii="Times New Roman" w:hAnsi="Times New Roman" w:cs="Times New Roman"/>
          <w:bCs/>
          <w:sz w:val="24"/>
          <w:szCs w:val="24"/>
        </w:rPr>
        <w:t xml:space="preserve"> sought asylum in 2006</w:t>
      </w:r>
      <w:r w:rsidR="00137DDA">
        <w:rPr>
          <w:rFonts w:ascii="Times New Roman" w:hAnsi="Times New Roman" w:cs="Times New Roman"/>
          <w:bCs/>
          <w:sz w:val="24"/>
          <w:szCs w:val="24"/>
        </w:rPr>
        <w:t>, claiming persecution by family member on account of their having been born in Burundi while their parents were refugees there.</w:t>
      </w:r>
      <w:r w:rsidR="00A84A7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67AC1">
        <w:rPr>
          <w:rFonts w:ascii="Times New Roman" w:hAnsi="Times New Roman" w:cs="Times New Roman"/>
          <w:bCs/>
          <w:sz w:val="24"/>
          <w:szCs w:val="24"/>
        </w:rPr>
        <w:t xml:space="preserve">Uncle deeded husband some land; they began building on it in 2004. </w:t>
      </w:r>
      <w:r w:rsidR="001431F6">
        <w:rPr>
          <w:rFonts w:ascii="Times New Roman" w:hAnsi="Times New Roman" w:cs="Times New Roman"/>
          <w:bCs/>
          <w:sz w:val="24"/>
          <w:szCs w:val="24"/>
        </w:rPr>
        <w:t>Aunt with government connections started harassing them.</w:t>
      </w:r>
      <w:r w:rsidR="00771A62">
        <w:rPr>
          <w:rFonts w:ascii="Times New Roman" w:hAnsi="Times New Roman" w:cs="Times New Roman"/>
          <w:bCs/>
          <w:sz w:val="24"/>
          <w:szCs w:val="24"/>
        </w:rPr>
        <w:t xml:space="preserve"> Got tourist visas, but when they arrived in U.S. they learned these had been cancelled</w:t>
      </w:r>
      <w:r w:rsidR="00B85FFE">
        <w:rPr>
          <w:rFonts w:ascii="Times New Roman" w:hAnsi="Times New Roman" w:cs="Times New Roman"/>
          <w:bCs/>
          <w:sz w:val="24"/>
          <w:szCs w:val="24"/>
        </w:rPr>
        <w:t xml:space="preserve"> by someone in Rwanda.</w:t>
      </w:r>
    </w:p>
    <w:p w14:paraId="224DE314" w14:textId="77777777" w:rsidR="008E5B66" w:rsidRPr="00ED7609" w:rsidRDefault="008E5B66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10D470A" w14:textId="4AE608FC" w:rsidR="009917BC" w:rsidRDefault="00434206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Procedural History</w:t>
      </w:r>
      <w:r w:rsidR="009917BC" w:rsidRPr="00ED7609">
        <w:rPr>
          <w:rFonts w:ascii="Times New Roman" w:hAnsi="Times New Roman" w:cs="Times New Roman"/>
          <w:b/>
          <w:sz w:val="24"/>
          <w:szCs w:val="24"/>
        </w:rPr>
        <w:t>:</w:t>
      </w:r>
    </w:p>
    <w:p w14:paraId="75F3987D" w14:textId="11C2F0F4" w:rsidR="00137DDA" w:rsidRDefault="00B85FFE" w:rsidP="00137DDA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2007 </w:t>
      </w:r>
      <w:r w:rsidR="00137DDA">
        <w:rPr>
          <w:rFonts w:ascii="Times New Roman" w:hAnsi="Times New Roman" w:cs="Times New Roman"/>
          <w:b/>
          <w:bCs/>
          <w:sz w:val="24"/>
          <w:szCs w:val="24"/>
        </w:rPr>
        <w:t xml:space="preserve">IJ: </w:t>
      </w:r>
      <w:r w:rsidR="002C793A">
        <w:rPr>
          <w:rFonts w:ascii="Times New Roman" w:hAnsi="Times New Roman" w:cs="Times New Roman"/>
          <w:sz w:val="24"/>
          <w:szCs w:val="24"/>
        </w:rPr>
        <w:t>Denied asylum application</w:t>
      </w:r>
      <w:r w:rsidR="00A84A71">
        <w:rPr>
          <w:rFonts w:ascii="Times New Roman" w:hAnsi="Times New Roman" w:cs="Times New Roman"/>
          <w:sz w:val="24"/>
          <w:szCs w:val="24"/>
        </w:rPr>
        <w:t xml:space="preserve"> because persecution seemed to be just about a land dispute</w:t>
      </w:r>
    </w:p>
    <w:p w14:paraId="0EB15D6C" w14:textId="457B6628" w:rsidR="00A84A71" w:rsidRPr="00137DDA" w:rsidRDefault="00A84A71" w:rsidP="00137DDA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BIA:</w:t>
      </w:r>
      <w:r>
        <w:rPr>
          <w:rFonts w:ascii="Times New Roman" w:hAnsi="Times New Roman" w:cs="Times New Roman"/>
          <w:sz w:val="24"/>
          <w:szCs w:val="24"/>
        </w:rPr>
        <w:t xml:space="preserve"> Affirmed</w:t>
      </w:r>
      <w:r w:rsidR="00B245F8">
        <w:rPr>
          <w:rFonts w:ascii="Times New Roman" w:hAnsi="Times New Roman" w:cs="Times New Roman"/>
          <w:sz w:val="24"/>
          <w:szCs w:val="24"/>
        </w:rPr>
        <w:t>; any persecution based on nationality was only incidental.</w:t>
      </w:r>
    </w:p>
    <w:p w14:paraId="156B1D22" w14:textId="77777777" w:rsidR="009917BC" w:rsidRPr="00ED7609" w:rsidRDefault="009917BC" w:rsidP="008E5B6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2875252" w14:textId="7EA27157" w:rsidR="00552EC4" w:rsidRDefault="00552EC4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Appeals to Statute &amp; Precedent:</w:t>
      </w:r>
    </w:p>
    <w:p w14:paraId="38E3195B" w14:textId="5CE23EE4" w:rsidR="00B85FFE" w:rsidRPr="00B85FFE" w:rsidRDefault="00B85FFE" w:rsidP="00B85FFE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INA § 208(b)(1)(B)(i) / 8 U.S.C. </w:t>
      </w:r>
      <w:r w:rsidR="00B24117">
        <w:rPr>
          <w:rFonts w:ascii="Times New Roman" w:hAnsi="Times New Roman" w:cs="Times New Roman"/>
          <w:b/>
          <w:sz w:val="24"/>
          <w:szCs w:val="24"/>
        </w:rPr>
        <w:t>§</w:t>
      </w:r>
      <w:r w:rsidR="00B24117">
        <w:rPr>
          <w:rFonts w:ascii="Times New Roman" w:hAnsi="Times New Roman" w:cs="Times New Roman"/>
          <w:b/>
          <w:sz w:val="24"/>
          <w:szCs w:val="24"/>
        </w:rPr>
        <w:t xml:space="preserve"> 1158(b)(1)(B)(i):</w:t>
      </w:r>
      <w:r w:rsidR="00B24117">
        <w:rPr>
          <w:rFonts w:ascii="Times New Roman" w:hAnsi="Times New Roman" w:cs="Times New Roman"/>
          <w:bCs/>
          <w:sz w:val="24"/>
          <w:szCs w:val="24"/>
        </w:rPr>
        <w:t xml:space="preserve"> REAL ID Act 2005-mixed motives for persecution</w:t>
      </w:r>
    </w:p>
    <w:p w14:paraId="11DA38CD" w14:textId="77777777" w:rsidR="00A65C5C" w:rsidRPr="00ED7609" w:rsidRDefault="00A65C5C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7BC1B9C1" w14:textId="64019B3B" w:rsidR="009917BC" w:rsidRDefault="009917BC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 xml:space="preserve">Relevant </w:t>
      </w:r>
      <w:r w:rsidR="00B245F8">
        <w:rPr>
          <w:rFonts w:ascii="Times New Roman" w:hAnsi="Times New Roman" w:cs="Times New Roman"/>
          <w:b/>
          <w:sz w:val="24"/>
          <w:szCs w:val="24"/>
        </w:rPr>
        <w:t>Rwandan</w:t>
      </w:r>
      <w:r w:rsidR="00757CDB" w:rsidRPr="00ED760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D7609">
        <w:rPr>
          <w:rFonts w:ascii="Times New Roman" w:hAnsi="Times New Roman" w:cs="Times New Roman"/>
          <w:b/>
          <w:sz w:val="24"/>
          <w:szCs w:val="24"/>
        </w:rPr>
        <w:t>History:</w:t>
      </w:r>
    </w:p>
    <w:p w14:paraId="3C499300" w14:textId="01FA676F" w:rsidR="00CE35FC" w:rsidRPr="00CE35FC" w:rsidRDefault="00CE35FC" w:rsidP="00B245F8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1994:</w:t>
      </w:r>
      <w:r>
        <w:rPr>
          <w:rFonts w:ascii="Times New Roman" w:hAnsi="Times New Roman" w:cs="Times New Roman"/>
          <w:bCs/>
          <w:sz w:val="24"/>
          <w:szCs w:val="24"/>
        </w:rPr>
        <w:t xml:space="preserve"> Rwandan genocide: Tutsis </w:t>
      </w:r>
      <w:r w:rsidR="009E1E0A">
        <w:rPr>
          <w:rFonts w:ascii="Times New Roman" w:hAnsi="Times New Roman" w:cs="Times New Roman"/>
          <w:bCs/>
          <w:sz w:val="24"/>
          <w:szCs w:val="24"/>
        </w:rPr>
        <w:t>were massacred and dumped in the Akagera river.</w:t>
      </w:r>
    </w:p>
    <w:p w14:paraId="2CAD17CD" w14:textId="29D53B3D" w:rsidR="00B245F8" w:rsidRPr="00B245F8" w:rsidRDefault="007532E9" w:rsidP="00B245F8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1996—several hundred thousand Rwandan refugees returned from Burundi</w:t>
      </w:r>
      <w:r w:rsidR="00AC17B2">
        <w:rPr>
          <w:rFonts w:ascii="Times New Roman" w:hAnsi="Times New Roman" w:cs="Times New Roman"/>
          <w:bCs/>
          <w:sz w:val="24"/>
          <w:szCs w:val="24"/>
        </w:rPr>
        <w:t>. They are known as “old case-load” refugees. They have a different social status in Rwandan society, depending on the country from which they have repatriated. Those from Burundi have little influence or power.</w:t>
      </w:r>
    </w:p>
    <w:p w14:paraId="52002489" w14:textId="77777777" w:rsidR="009917BC" w:rsidRPr="00ED7609" w:rsidRDefault="009917BC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A868CAF" w14:textId="11EF4454" w:rsidR="00E16E68" w:rsidRPr="00ED7609" w:rsidRDefault="00434206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Discussion</w:t>
      </w:r>
      <w:r w:rsidR="00E16E68" w:rsidRPr="00ED7609">
        <w:rPr>
          <w:rFonts w:ascii="Times New Roman" w:hAnsi="Times New Roman" w:cs="Times New Roman"/>
          <w:b/>
          <w:sz w:val="24"/>
          <w:szCs w:val="24"/>
        </w:rPr>
        <w:t>:</w:t>
      </w:r>
    </w:p>
    <w:p w14:paraId="46D00B83" w14:textId="469EA5B4" w:rsidR="00C87419" w:rsidRPr="00284A8D" w:rsidRDefault="000D2E80" w:rsidP="000D2E80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“Section 208’s use of the phrase ‘</w:t>
      </w:r>
      <w:r w:rsidRPr="00284A8D">
        <w:rPr>
          <w:rFonts w:ascii="Times New Roman" w:hAnsi="Times New Roman" w:cs="Times New Roman"/>
          <w:b/>
          <w:i/>
          <w:iCs/>
          <w:sz w:val="24"/>
          <w:szCs w:val="24"/>
        </w:rPr>
        <w:t>one</w:t>
      </w:r>
      <w:r>
        <w:rPr>
          <w:rFonts w:ascii="Times New Roman" w:hAnsi="Times New Roman" w:cs="Times New Roman"/>
          <w:b/>
          <w:sz w:val="24"/>
          <w:szCs w:val="24"/>
        </w:rPr>
        <w:t xml:space="preserve"> central reason’ rather than ‘</w:t>
      </w:r>
      <w:r w:rsidRPr="00284A8D">
        <w:rPr>
          <w:rFonts w:ascii="Times New Roman" w:hAnsi="Times New Roman" w:cs="Times New Roman"/>
          <w:b/>
          <w:i/>
          <w:iCs/>
          <w:sz w:val="24"/>
          <w:szCs w:val="24"/>
        </w:rPr>
        <w:t>the</w:t>
      </w:r>
      <w:r>
        <w:rPr>
          <w:rFonts w:ascii="Times New Roman" w:hAnsi="Times New Roman" w:cs="Times New Roman"/>
          <w:b/>
          <w:sz w:val="24"/>
          <w:szCs w:val="24"/>
        </w:rPr>
        <w:t xml:space="preserve"> central reason,’ which, as </w:t>
      </w:r>
      <w:r w:rsidRPr="00284A8D">
        <w:rPr>
          <w:rFonts w:ascii="Times New Roman" w:hAnsi="Times New Roman" w:cs="Times New Roman"/>
          <w:b/>
          <w:i/>
          <w:iCs/>
          <w:sz w:val="24"/>
          <w:szCs w:val="24"/>
        </w:rPr>
        <w:t>amicus</w:t>
      </w:r>
      <w:r>
        <w:rPr>
          <w:rFonts w:ascii="Times New Roman" w:hAnsi="Times New Roman" w:cs="Times New Roman"/>
          <w:b/>
          <w:sz w:val="24"/>
          <w:szCs w:val="24"/>
        </w:rPr>
        <w:t xml:space="preserve"> points out, was a deliberate change in the drafting of this provision, demonstrates that the mixed-motives analysis should not depend on a hierarchy of motivations in which one is dominant and the rest are subordinate.”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284A8D">
        <w:rPr>
          <w:rFonts w:ascii="Times New Roman" w:hAnsi="Times New Roman" w:cs="Times New Roman"/>
          <w:bCs/>
          <w:sz w:val="24"/>
          <w:szCs w:val="24"/>
        </w:rPr>
        <w:t>129 (emphases original)</w:t>
      </w:r>
    </w:p>
    <w:p w14:paraId="4F47CD25" w14:textId="0CC80450" w:rsidR="00284A8D" w:rsidRPr="000D2E80" w:rsidRDefault="00284A8D" w:rsidP="000D2E80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</w:t>
      </w:r>
      <w:r w:rsidR="003F267E">
        <w:rPr>
          <w:rFonts w:ascii="Times New Roman" w:hAnsi="Times New Roman" w:cs="Times New Roman"/>
          <w:bCs/>
          <w:sz w:val="24"/>
          <w:szCs w:val="24"/>
        </w:rPr>
        <w:t xml:space="preserve">This plain language indicates that a persecutor may have more than one central motivation for his or her actions; </w:t>
      </w:r>
      <w:r>
        <w:rPr>
          <w:rFonts w:ascii="Times New Roman" w:hAnsi="Times New Roman" w:cs="Times New Roman"/>
          <w:bCs/>
          <w:sz w:val="24"/>
          <w:szCs w:val="24"/>
        </w:rPr>
        <w:t>whether one of those central reasons is more or less important than another is irrelevant.” 129</w:t>
      </w:r>
    </w:p>
    <w:p w14:paraId="365676AF" w14:textId="77777777" w:rsidR="00552EC4" w:rsidRPr="00ED7609" w:rsidRDefault="00552EC4" w:rsidP="00C874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186740D" w14:textId="08061B15" w:rsidR="00E16E68" w:rsidRDefault="00E16E68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Commentary:</w:t>
      </w:r>
    </w:p>
    <w:p w14:paraId="6D49AF85" w14:textId="7E49C4D2" w:rsidR="0091278D" w:rsidRDefault="0091278D" w:rsidP="0091278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Applies </w:t>
      </w:r>
      <w:r>
        <w:rPr>
          <w:rFonts w:ascii="Times New Roman" w:hAnsi="Times New Roman" w:cs="Times New Roman"/>
          <w:i/>
          <w:iCs/>
          <w:sz w:val="24"/>
          <w:szCs w:val="24"/>
        </w:rPr>
        <w:t>Chevron</w:t>
      </w:r>
      <w:r>
        <w:rPr>
          <w:rFonts w:ascii="Times New Roman" w:hAnsi="Times New Roman" w:cs="Times New Roman"/>
          <w:sz w:val="24"/>
          <w:szCs w:val="24"/>
        </w:rPr>
        <w:t xml:space="preserve"> here to BIA’s interpretation of REAL ID Act</w:t>
      </w:r>
      <w:r w:rsidR="00C00B1C">
        <w:rPr>
          <w:rFonts w:ascii="Times New Roman" w:hAnsi="Times New Roman" w:cs="Times New Roman"/>
          <w:sz w:val="24"/>
          <w:szCs w:val="24"/>
        </w:rPr>
        <w:t xml:space="preserve"> requirement that a protected ground be at least one central motivation for persecutor’s actions</w:t>
      </w:r>
      <w:r w:rsidR="00C969FC">
        <w:rPr>
          <w:rFonts w:ascii="Times New Roman" w:hAnsi="Times New Roman" w:cs="Times New Roman"/>
          <w:sz w:val="24"/>
          <w:szCs w:val="24"/>
        </w:rPr>
        <w:t>.</w:t>
      </w:r>
    </w:p>
    <w:p w14:paraId="6F10BAF3" w14:textId="7978130E" w:rsidR="00C969FC" w:rsidRPr="0091278D" w:rsidRDefault="00C969FC" w:rsidP="00C969FC">
      <w:pPr>
        <w:pStyle w:val="ListParagraph"/>
        <w:numPr>
          <w:ilvl w:val="1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BIA had said the reason must not be “subordinate” to a non-protected </w:t>
      </w:r>
      <w:r w:rsidR="008D3E21">
        <w:rPr>
          <w:rFonts w:ascii="Times New Roman" w:hAnsi="Times New Roman" w:cs="Times New Roman"/>
          <w:sz w:val="24"/>
          <w:szCs w:val="24"/>
        </w:rPr>
        <w:t>motive. This particular term is inconsistent with the plain language of the statute.</w:t>
      </w:r>
    </w:p>
    <w:p w14:paraId="2E1F0385" w14:textId="77777777" w:rsidR="00E16E68" w:rsidRPr="00ED7609" w:rsidRDefault="00E16E68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sectPr w:rsidR="00E16E68" w:rsidRPr="00ED7609" w:rsidSect="00E16E68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489E27" w14:textId="77777777" w:rsidR="00A024C4" w:rsidRDefault="00A024C4" w:rsidP="00E16E68">
      <w:pPr>
        <w:spacing w:after="0" w:line="240" w:lineRule="auto"/>
      </w:pPr>
      <w:r>
        <w:separator/>
      </w:r>
    </w:p>
  </w:endnote>
  <w:endnote w:type="continuationSeparator" w:id="0">
    <w:p w14:paraId="0EF6F88B" w14:textId="77777777" w:rsidR="00A024C4" w:rsidRDefault="00A024C4" w:rsidP="00E16E68">
      <w:pPr>
        <w:spacing w:after="0" w:line="240" w:lineRule="auto"/>
      </w:pPr>
      <w:r>
        <w:continuationSeparator/>
      </w:r>
    </w:p>
  </w:endnote>
  <w:endnote w:type="continuationNotice" w:id="1">
    <w:p w14:paraId="0F704DDA" w14:textId="77777777" w:rsidR="00A024C4" w:rsidRDefault="00A024C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45C295" w14:textId="77777777" w:rsidR="00A024C4" w:rsidRDefault="00A024C4" w:rsidP="00E16E68">
      <w:pPr>
        <w:spacing w:after="0" w:line="240" w:lineRule="auto"/>
      </w:pPr>
      <w:r>
        <w:separator/>
      </w:r>
    </w:p>
  </w:footnote>
  <w:footnote w:type="continuationSeparator" w:id="0">
    <w:p w14:paraId="5399E2DB" w14:textId="77777777" w:rsidR="00A024C4" w:rsidRDefault="00A024C4" w:rsidP="00E16E68">
      <w:pPr>
        <w:spacing w:after="0" w:line="240" w:lineRule="auto"/>
      </w:pPr>
      <w:r>
        <w:continuationSeparator/>
      </w:r>
    </w:p>
  </w:footnote>
  <w:footnote w:type="continuationNotice" w:id="1">
    <w:p w14:paraId="22D5484B" w14:textId="77777777" w:rsidR="00A024C4" w:rsidRDefault="00A024C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0A1585" w14:textId="0731FC83" w:rsidR="00E16E68" w:rsidRDefault="003D162C" w:rsidP="00757CDB">
    <w:pPr>
      <w:pStyle w:val="Header"/>
      <w:jc w:val="right"/>
    </w:pPr>
    <w:r>
      <w:t xml:space="preserve">Third </w:t>
    </w:r>
    <w:r w:rsidR="006C420B">
      <w:t>Circuit</w:t>
    </w:r>
    <w:r w:rsidR="0016476D">
      <w:t xml:space="preserve"> Court</w:t>
    </w:r>
    <w:r w:rsidR="00E16E68">
      <w:tab/>
    </w:r>
    <w:r>
      <w:t>2009</w:t>
    </w:r>
    <w:r w:rsidR="00E16E68">
      <w:tab/>
    </w:r>
    <w:r>
      <w:t>Ndayshimiye v. A.G.</w:t>
    </w:r>
  </w:p>
  <w:p w14:paraId="4CE88CBF" w14:textId="03303734" w:rsidR="00552EC4" w:rsidRDefault="00552EC4" w:rsidP="00552EC4">
    <w:pPr>
      <w:pStyle w:val="Header"/>
      <w:jc w:val="right"/>
    </w:pPr>
    <w:r>
      <w:tab/>
    </w:r>
    <w:r>
      <w:tab/>
    </w:r>
    <w:r w:rsidR="003D162C">
      <w:t>ASYLUM: MIXED MOTIVE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2B5335"/>
    <w:multiLevelType w:val="hybridMultilevel"/>
    <w:tmpl w:val="02D87744"/>
    <w:lvl w:ilvl="0" w:tplc="618A6174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9D5B6E"/>
    <w:multiLevelType w:val="hybridMultilevel"/>
    <w:tmpl w:val="FA2AE138"/>
    <w:lvl w:ilvl="0" w:tplc="85E0422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E68"/>
    <w:rsid w:val="000143DA"/>
    <w:rsid w:val="0003741D"/>
    <w:rsid w:val="00053510"/>
    <w:rsid w:val="00054BBC"/>
    <w:rsid w:val="00060D0E"/>
    <w:rsid w:val="000D2E80"/>
    <w:rsid w:val="00137DDA"/>
    <w:rsid w:val="001431F6"/>
    <w:rsid w:val="00144D3B"/>
    <w:rsid w:val="0016476D"/>
    <w:rsid w:val="00180DFF"/>
    <w:rsid w:val="001B0867"/>
    <w:rsid w:val="0026775C"/>
    <w:rsid w:val="0027729D"/>
    <w:rsid w:val="00284A8D"/>
    <w:rsid w:val="00285F90"/>
    <w:rsid w:val="002C793A"/>
    <w:rsid w:val="00332E0B"/>
    <w:rsid w:val="00367AC1"/>
    <w:rsid w:val="00394704"/>
    <w:rsid w:val="003D162C"/>
    <w:rsid w:val="003F267E"/>
    <w:rsid w:val="00434206"/>
    <w:rsid w:val="00444E7F"/>
    <w:rsid w:val="00457D27"/>
    <w:rsid w:val="00464498"/>
    <w:rsid w:val="005046B1"/>
    <w:rsid w:val="005326D0"/>
    <w:rsid w:val="00552EC4"/>
    <w:rsid w:val="00553D7D"/>
    <w:rsid w:val="006C420B"/>
    <w:rsid w:val="007532E9"/>
    <w:rsid w:val="00757CDB"/>
    <w:rsid w:val="00771A62"/>
    <w:rsid w:val="007B49D0"/>
    <w:rsid w:val="007D1AC2"/>
    <w:rsid w:val="007F7A38"/>
    <w:rsid w:val="008A41F9"/>
    <w:rsid w:val="008C25CD"/>
    <w:rsid w:val="008C70B7"/>
    <w:rsid w:val="008D3E21"/>
    <w:rsid w:val="008E5B66"/>
    <w:rsid w:val="0091278D"/>
    <w:rsid w:val="009917BC"/>
    <w:rsid w:val="009E1E0A"/>
    <w:rsid w:val="009F3627"/>
    <w:rsid w:val="00A024C4"/>
    <w:rsid w:val="00A65C5C"/>
    <w:rsid w:val="00A71E2C"/>
    <w:rsid w:val="00A84A71"/>
    <w:rsid w:val="00A94F93"/>
    <w:rsid w:val="00AC17B2"/>
    <w:rsid w:val="00AC230B"/>
    <w:rsid w:val="00B24117"/>
    <w:rsid w:val="00B245F8"/>
    <w:rsid w:val="00B330E3"/>
    <w:rsid w:val="00B564E2"/>
    <w:rsid w:val="00B667F9"/>
    <w:rsid w:val="00B778D1"/>
    <w:rsid w:val="00B85FFE"/>
    <w:rsid w:val="00C00B1C"/>
    <w:rsid w:val="00C47189"/>
    <w:rsid w:val="00C66927"/>
    <w:rsid w:val="00C87419"/>
    <w:rsid w:val="00C969FC"/>
    <w:rsid w:val="00CC3AFE"/>
    <w:rsid w:val="00CC7EEE"/>
    <w:rsid w:val="00CD6DF7"/>
    <w:rsid w:val="00CE35FC"/>
    <w:rsid w:val="00D01DE6"/>
    <w:rsid w:val="00D46335"/>
    <w:rsid w:val="00D47EB9"/>
    <w:rsid w:val="00D66735"/>
    <w:rsid w:val="00E16E68"/>
    <w:rsid w:val="00E2134E"/>
    <w:rsid w:val="00ED7609"/>
    <w:rsid w:val="00EE062F"/>
    <w:rsid w:val="00EE24CF"/>
    <w:rsid w:val="00EF5CB3"/>
    <w:rsid w:val="00F10D22"/>
    <w:rsid w:val="00F52BAD"/>
    <w:rsid w:val="00FA1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3AD93"/>
  <w15:docId w15:val="{98F92C6E-8FD3-2841-84D9-FF37841BB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D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6E68"/>
  </w:style>
  <w:style w:type="paragraph" w:styleId="Footer">
    <w:name w:val="footer"/>
    <w:basedOn w:val="Normal"/>
    <w:link w:val="FooterChar"/>
    <w:uiPriority w:val="99"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6E68"/>
  </w:style>
  <w:style w:type="paragraph" w:styleId="BalloonText">
    <w:name w:val="Balloon Text"/>
    <w:basedOn w:val="Normal"/>
    <w:link w:val="BalloonTextChar"/>
    <w:uiPriority w:val="99"/>
    <w:semiHidden/>
    <w:unhideWhenUsed/>
    <w:rsid w:val="00E16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E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7C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411</Words>
  <Characters>2348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 Britton</cp:lastModifiedBy>
  <cp:revision>38</cp:revision>
  <dcterms:created xsi:type="dcterms:W3CDTF">2021-06-16T15:28:00Z</dcterms:created>
  <dcterms:modified xsi:type="dcterms:W3CDTF">2021-06-16T16:05:00Z</dcterms:modified>
</cp:coreProperties>
</file>