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FB74E" w14:textId="77777777" w:rsidR="00144D3B" w:rsidRPr="006B3208" w:rsidRDefault="00144D3B" w:rsidP="00C87419">
      <w:pPr>
        <w:spacing w:after="0"/>
        <w:rPr>
          <w:rFonts w:ascii="Georgia" w:hAnsi="Georgia"/>
        </w:rPr>
      </w:pPr>
    </w:p>
    <w:p w14:paraId="0AF7EAF4" w14:textId="77777777" w:rsidR="00E16E68" w:rsidRPr="006B3208" w:rsidRDefault="008E5B66" w:rsidP="00C87419">
      <w:pPr>
        <w:spacing w:after="0"/>
        <w:jc w:val="center"/>
        <w:rPr>
          <w:rFonts w:ascii="Georgia" w:hAnsi="Georgia"/>
          <w:b/>
          <w:sz w:val="24"/>
          <w:szCs w:val="24"/>
        </w:rPr>
      </w:pPr>
      <w:r w:rsidRPr="006B3208">
        <w:rPr>
          <w:rFonts w:ascii="Georgia" w:hAnsi="Georgia"/>
          <w:b/>
          <w:sz w:val="24"/>
          <w:szCs w:val="24"/>
        </w:rPr>
        <w:t>US</w:t>
      </w:r>
      <w:r w:rsidR="0016476D" w:rsidRPr="006B3208">
        <w:rPr>
          <w:rFonts w:ascii="Georgia" w:hAnsi="Georgia"/>
          <w:b/>
          <w:sz w:val="24"/>
          <w:szCs w:val="24"/>
        </w:rPr>
        <w:t xml:space="preserve"> </w:t>
      </w:r>
      <w:r w:rsidR="007D1AC2" w:rsidRPr="006B3208">
        <w:rPr>
          <w:rFonts w:ascii="Georgia" w:hAnsi="Georgia"/>
          <w:b/>
          <w:sz w:val="24"/>
          <w:szCs w:val="24"/>
        </w:rPr>
        <w:t>Supreme</w:t>
      </w:r>
      <w:r w:rsidR="0016476D" w:rsidRPr="006B3208">
        <w:rPr>
          <w:rFonts w:ascii="Georgia" w:hAnsi="Georgia"/>
          <w:b/>
          <w:sz w:val="24"/>
          <w:szCs w:val="24"/>
        </w:rPr>
        <w:t xml:space="preserve"> Court</w:t>
      </w:r>
    </w:p>
    <w:p w14:paraId="63FD4E48" w14:textId="77777777" w:rsidR="00C87419" w:rsidRPr="006B3208" w:rsidRDefault="00C87419" w:rsidP="00C87419">
      <w:pPr>
        <w:spacing w:after="0"/>
        <w:jc w:val="center"/>
        <w:rPr>
          <w:rFonts w:ascii="Georgia" w:hAnsi="Georgia"/>
          <w:b/>
          <w:sz w:val="24"/>
          <w:szCs w:val="24"/>
        </w:rPr>
      </w:pPr>
    </w:p>
    <w:p w14:paraId="07B1107A" w14:textId="213FC005" w:rsidR="00757CDB" w:rsidRPr="0087493C" w:rsidRDefault="00E16E68" w:rsidP="00C87419">
      <w:pPr>
        <w:spacing w:after="0"/>
        <w:rPr>
          <w:rFonts w:ascii="Georgia" w:hAnsi="Georgia"/>
          <w:bCs/>
          <w:sz w:val="24"/>
          <w:szCs w:val="24"/>
        </w:rPr>
      </w:pPr>
      <w:r w:rsidRPr="006B3208">
        <w:rPr>
          <w:rFonts w:ascii="Georgia" w:hAnsi="Georgia"/>
          <w:b/>
          <w:sz w:val="24"/>
          <w:szCs w:val="24"/>
        </w:rPr>
        <w:t>Case:</w:t>
      </w:r>
      <w:r w:rsidR="008E5B66" w:rsidRPr="006B3208">
        <w:rPr>
          <w:rFonts w:ascii="Georgia" w:hAnsi="Georgia"/>
          <w:b/>
          <w:sz w:val="24"/>
          <w:szCs w:val="24"/>
        </w:rPr>
        <w:tab/>
      </w:r>
      <w:proofErr w:type="spellStart"/>
      <w:r w:rsidR="0087493C">
        <w:rPr>
          <w:rFonts w:ascii="Georgia" w:hAnsi="Georgia"/>
          <w:bCs/>
          <w:i/>
          <w:iCs/>
          <w:sz w:val="24"/>
          <w:szCs w:val="24"/>
        </w:rPr>
        <w:t>Niz</w:t>
      </w:r>
      <w:proofErr w:type="spellEnd"/>
      <w:r w:rsidR="0087493C">
        <w:rPr>
          <w:rFonts w:ascii="Georgia" w:hAnsi="Georgia"/>
          <w:bCs/>
          <w:i/>
          <w:iCs/>
          <w:sz w:val="24"/>
          <w:szCs w:val="24"/>
        </w:rPr>
        <w:t>-Chavez v. Garland</w:t>
      </w:r>
      <w:r w:rsidR="0087493C">
        <w:rPr>
          <w:rFonts w:ascii="Georgia" w:hAnsi="Georgia"/>
          <w:bCs/>
          <w:sz w:val="24"/>
          <w:szCs w:val="24"/>
        </w:rPr>
        <w:t>, US 2021 (Slip Op)</w:t>
      </w:r>
    </w:p>
    <w:p w14:paraId="1030DEFA" w14:textId="77777777" w:rsidR="0087493C" w:rsidRDefault="008E5B66" w:rsidP="00C87419">
      <w:pPr>
        <w:spacing w:after="0"/>
        <w:rPr>
          <w:rFonts w:ascii="Georgia" w:hAnsi="Georgia"/>
          <w:b/>
          <w:sz w:val="24"/>
          <w:szCs w:val="24"/>
        </w:rPr>
      </w:pPr>
      <w:r w:rsidRPr="006B3208">
        <w:rPr>
          <w:rFonts w:ascii="Georgia" w:hAnsi="Georgia"/>
          <w:b/>
          <w:sz w:val="24"/>
          <w:szCs w:val="24"/>
        </w:rPr>
        <w:t>Date:</w:t>
      </w:r>
      <w:r w:rsidRPr="006B3208">
        <w:rPr>
          <w:rFonts w:ascii="Georgia" w:hAnsi="Georgia"/>
          <w:b/>
          <w:sz w:val="24"/>
          <w:szCs w:val="24"/>
        </w:rPr>
        <w:tab/>
      </w:r>
      <w:r w:rsidR="0087493C">
        <w:rPr>
          <w:rFonts w:ascii="Georgia" w:hAnsi="Georgia"/>
          <w:bCs/>
          <w:sz w:val="24"/>
          <w:szCs w:val="24"/>
        </w:rPr>
        <w:t>April 29, 2021</w:t>
      </w:r>
      <w:r w:rsidRPr="006B3208">
        <w:rPr>
          <w:rFonts w:ascii="Georgia" w:hAnsi="Georgia"/>
          <w:b/>
          <w:sz w:val="24"/>
          <w:szCs w:val="24"/>
        </w:rPr>
        <w:tab/>
      </w:r>
      <w:r w:rsidR="00A65C5C" w:rsidRPr="006B3208">
        <w:rPr>
          <w:rFonts w:ascii="Georgia" w:hAnsi="Georgia"/>
          <w:b/>
          <w:sz w:val="24"/>
          <w:szCs w:val="24"/>
        </w:rPr>
        <w:tab/>
      </w:r>
      <w:r w:rsidR="00A65C5C" w:rsidRPr="006B3208">
        <w:rPr>
          <w:rFonts w:ascii="Georgia" w:hAnsi="Georgia"/>
          <w:b/>
          <w:sz w:val="24"/>
          <w:szCs w:val="24"/>
        </w:rPr>
        <w:tab/>
      </w:r>
    </w:p>
    <w:p w14:paraId="2ED1D683" w14:textId="1CFC881D" w:rsidR="00E16E68" w:rsidRPr="006B3208" w:rsidRDefault="008E5B66" w:rsidP="00C87419">
      <w:pPr>
        <w:spacing w:after="0"/>
        <w:rPr>
          <w:rFonts w:ascii="Georgia" w:hAnsi="Georgia"/>
          <w:sz w:val="24"/>
          <w:szCs w:val="24"/>
        </w:rPr>
      </w:pPr>
      <w:r w:rsidRPr="006B3208">
        <w:rPr>
          <w:rFonts w:ascii="Georgia" w:hAnsi="Georgia"/>
          <w:b/>
          <w:sz w:val="24"/>
          <w:szCs w:val="24"/>
        </w:rPr>
        <w:t>Votes:</w:t>
      </w:r>
      <w:r w:rsidR="00757CDB" w:rsidRPr="006B3208">
        <w:rPr>
          <w:rFonts w:ascii="Georgia" w:hAnsi="Georgia"/>
          <w:sz w:val="24"/>
          <w:szCs w:val="24"/>
        </w:rPr>
        <w:t xml:space="preserve"> </w:t>
      </w:r>
      <w:r w:rsidR="0087493C">
        <w:rPr>
          <w:rFonts w:ascii="Georgia" w:hAnsi="Georgia"/>
          <w:sz w:val="24"/>
          <w:szCs w:val="24"/>
        </w:rPr>
        <w:t>6-3 (Gorsuch, Barrett, Breyer, Sotomayor, Kagan, Thomas) / (Kavanaugh, Roberts, Alito)</w:t>
      </w:r>
    </w:p>
    <w:p w14:paraId="431F304A" w14:textId="77777777" w:rsidR="00C87419" w:rsidRPr="006B3208" w:rsidRDefault="00C87419" w:rsidP="00C87419">
      <w:pPr>
        <w:spacing w:after="0"/>
        <w:rPr>
          <w:rFonts w:ascii="Georgia" w:hAnsi="Georgia"/>
          <w:b/>
          <w:sz w:val="24"/>
          <w:szCs w:val="24"/>
        </w:rPr>
      </w:pPr>
    </w:p>
    <w:p w14:paraId="1E8C526A" w14:textId="1EFE93DC" w:rsidR="00E16E68" w:rsidRPr="0087493C" w:rsidRDefault="008E5B66" w:rsidP="00C87419">
      <w:pPr>
        <w:spacing w:after="0"/>
        <w:rPr>
          <w:rFonts w:ascii="Georgia" w:hAnsi="Georgia"/>
          <w:bCs/>
          <w:sz w:val="24"/>
          <w:szCs w:val="24"/>
        </w:rPr>
      </w:pPr>
      <w:r w:rsidRPr="006B3208">
        <w:rPr>
          <w:rFonts w:ascii="Georgia" w:hAnsi="Georgia"/>
          <w:b/>
          <w:sz w:val="24"/>
          <w:szCs w:val="24"/>
        </w:rPr>
        <w:t>Opinion</w:t>
      </w:r>
      <w:r w:rsidR="00E16E68" w:rsidRPr="006B3208">
        <w:rPr>
          <w:rFonts w:ascii="Georgia" w:hAnsi="Georgia"/>
          <w:b/>
          <w:sz w:val="24"/>
          <w:szCs w:val="24"/>
        </w:rPr>
        <w:t>:</w:t>
      </w:r>
      <w:r w:rsidR="0087493C">
        <w:rPr>
          <w:rFonts w:ascii="Georgia" w:hAnsi="Georgia"/>
          <w:bCs/>
          <w:sz w:val="24"/>
          <w:szCs w:val="24"/>
        </w:rPr>
        <w:t xml:space="preserve"> Gorsuch </w:t>
      </w:r>
      <w:r w:rsidR="0087493C">
        <w:rPr>
          <w:rFonts w:ascii="Georgia" w:hAnsi="Georgia"/>
          <w:bCs/>
          <w:sz w:val="24"/>
          <w:szCs w:val="24"/>
        </w:rPr>
        <w:tab/>
      </w:r>
      <w:r w:rsidR="0087493C">
        <w:rPr>
          <w:rFonts w:ascii="Georgia" w:hAnsi="Georgia"/>
          <w:bCs/>
          <w:sz w:val="24"/>
          <w:szCs w:val="24"/>
        </w:rPr>
        <w:tab/>
      </w:r>
      <w:r w:rsidR="00757CDB" w:rsidRPr="006B3208">
        <w:rPr>
          <w:rFonts w:ascii="Georgia" w:hAnsi="Georgia"/>
          <w:b/>
          <w:sz w:val="24"/>
          <w:szCs w:val="24"/>
        </w:rPr>
        <w:tab/>
      </w:r>
      <w:r w:rsidR="00757CDB" w:rsidRPr="006B3208">
        <w:rPr>
          <w:rFonts w:ascii="Georgia" w:hAnsi="Georgia"/>
          <w:b/>
          <w:sz w:val="24"/>
          <w:szCs w:val="24"/>
        </w:rPr>
        <w:tab/>
      </w:r>
      <w:r w:rsidRPr="006B3208">
        <w:rPr>
          <w:rFonts w:ascii="Georgia" w:hAnsi="Georgia"/>
          <w:b/>
          <w:sz w:val="24"/>
          <w:szCs w:val="24"/>
        </w:rPr>
        <w:t>Dissen</w:t>
      </w:r>
      <w:r w:rsidR="00757CDB" w:rsidRPr="006B3208">
        <w:rPr>
          <w:rFonts w:ascii="Georgia" w:hAnsi="Georgia"/>
          <w:b/>
          <w:sz w:val="24"/>
          <w:szCs w:val="24"/>
        </w:rPr>
        <w:t xml:space="preserve">t: </w:t>
      </w:r>
      <w:r w:rsidR="0087493C">
        <w:rPr>
          <w:rFonts w:ascii="Georgia" w:hAnsi="Georgia"/>
          <w:bCs/>
          <w:sz w:val="24"/>
          <w:szCs w:val="24"/>
        </w:rPr>
        <w:t>Kavanaugh (with Alito &amp; C.J. Roberts)</w:t>
      </w:r>
    </w:p>
    <w:p w14:paraId="08426395" w14:textId="77777777" w:rsidR="00C87419" w:rsidRPr="006B3208" w:rsidRDefault="00C87419" w:rsidP="00C87419">
      <w:pPr>
        <w:spacing w:after="0"/>
        <w:rPr>
          <w:rFonts w:ascii="Georgia" w:hAnsi="Georgia"/>
          <w:b/>
          <w:sz w:val="24"/>
          <w:szCs w:val="24"/>
        </w:rPr>
      </w:pPr>
    </w:p>
    <w:p w14:paraId="75F31202" w14:textId="3363B552" w:rsidR="00E16E68" w:rsidRPr="006B3208" w:rsidRDefault="00E16E68" w:rsidP="00C87419">
      <w:pPr>
        <w:spacing w:after="0"/>
        <w:rPr>
          <w:rFonts w:ascii="Georgia" w:hAnsi="Georgia"/>
          <w:sz w:val="24"/>
          <w:szCs w:val="24"/>
        </w:rPr>
      </w:pPr>
      <w:r w:rsidRPr="006B3208">
        <w:rPr>
          <w:rFonts w:ascii="Georgia" w:hAnsi="Georgia"/>
          <w:b/>
          <w:sz w:val="24"/>
          <w:szCs w:val="24"/>
        </w:rPr>
        <w:t>Tags:</w:t>
      </w:r>
      <w:r w:rsidR="00757CDB" w:rsidRPr="006B3208">
        <w:rPr>
          <w:rFonts w:ascii="Georgia" w:hAnsi="Georgia"/>
          <w:sz w:val="24"/>
          <w:szCs w:val="24"/>
        </w:rPr>
        <w:t xml:space="preserve"> </w:t>
      </w:r>
      <w:r w:rsidR="0087493C">
        <w:rPr>
          <w:rFonts w:ascii="Georgia" w:hAnsi="Georgia"/>
          <w:sz w:val="24"/>
          <w:szCs w:val="24"/>
        </w:rPr>
        <w:t>Immigration, IIRIRA, deferred removal, stop-time rule, NTA, plain language, “a”</w:t>
      </w:r>
    </w:p>
    <w:p w14:paraId="0906D07D" w14:textId="77777777" w:rsidR="00C87419" w:rsidRPr="006B3208" w:rsidRDefault="00C87419" w:rsidP="00C87419">
      <w:pPr>
        <w:spacing w:after="0"/>
        <w:rPr>
          <w:rFonts w:ascii="Georgia" w:hAnsi="Georgia"/>
          <w:b/>
          <w:sz w:val="24"/>
          <w:szCs w:val="24"/>
        </w:rPr>
      </w:pPr>
    </w:p>
    <w:p w14:paraId="65790554" w14:textId="06242F34" w:rsidR="00E16E68" w:rsidRPr="006B3208" w:rsidRDefault="008E5B66" w:rsidP="00C87419">
      <w:pPr>
        <w:spacing w:after="0"/>
        <w:rPr>
          <w:rFonts w:ascii="Georgia" w:hAnsi="Georgia"/>
          <w:sz w:val="24"/>
          <w:szCs w:val="24"/>
        </w:rPr>
      </w:pPr>
      <w:r w:rsidRPr="006B3208">
        <w:rPr>
          <w:rFonts w:ascii="Georgia" w:hAnsi="Georgia"/>
          <w:b/>
          <w:sz w:val="24"/>
          <w:szCs w:val="24"/>
        </w:rPr>
        <w:t>Question(s) Presented</w:t>
      </w:r>
      <w:r w:rsidR="00E16E68" w:rsidRPr="006B3208">
        <w:rPr>
          <w:rFonts w:ascii="Georgia" w:hAnsi="Georgia"/>
          <w:b/>
          <w:sz w:val="24"/>
          <w:szCs w:val="24"/>
        </w:rPr>
        <w:t>:</w:t>
      </w:r>
      <w:r w:rsidR="00757CDB" w:rsidRPr="006B3208">
        <w:rPr>
          <w:rFonts w:ascii="Georgia" w:hAnsi="Georgia"/>
          <w:sz w:val="24"/>
          <w:szCs w:val="24"/>
        </w:rPr>
        <w:t xml:space="preserve"> </w:t>
      </w:r>
      <w:r w:rsidR="0087493C">
        <w:rPr>
          <w:rFonts w:ascii="Georgia" w:hAnsi="Georgia"/>
          <w:sz w:val="24"/>
          <w:szCs w:val="24"/>
        </w:rPr>
        <w:t>Does the IIRIRA tolerate the government’s preferred practice of providing information to immigrants on separate mailings spread out over time?</w:t>
      </w:r>
    </w:p>
    <w:p w14:paraId="6ECE5103" w14:textId="77777777" w:rsidR="00C87419" w:rsidRPr="006B3208" w:rsidRDefault="00C87419" w:rsidP="00C87419">
      <w:pPr>
        <w:spacing w:after="0"/>
        <w:rPr>
          <w:rFonts w:ascii="Georgia" w:hAnsi="Georgia"/>
          <w:b/>
          <w:sz w:val="24"/>
          <w:szCs w:val="24"/>
        </w:rPr>
      </w:pPr>
    </w:p>
    <w:p w14:paraId="5E249D80" w14:textId="77777777" w:rsidR="0087493C" w:rsidRPr="006B3208" w:rsidRDefault="0087493C" w:rsidP="0087493C">
      <w:pPr>
        <w:spacing w:after="0"/>
        <w:rPr>
          <w:rFonts w:ascii="Georgia" w:hAnsi="Georgia"/>
          <w:sz w:val="24"/>
          <w:szCs w:val="24"/>
        </w:rPr>
      </w:pPr>
      <w:r>
        <w:rPr>
          <w:rFonts w:ascii="Georgia" w:hAnsi="Georgia"/>
          <w:b/>
          <w:sz w:val="24"/>
          <w:szCs w:val="24"/>
        </w:rPr>
        <w:t>Procedural History:</w:t>
      </w:r>
    </w:p>
    <w:p w14:paraId="547CB415" w14:textId="5BA5B5CC" w:rsidR="0087493C" w:rsidRPr="0087493C" w:rsidRDefault="0087493C" w:rsidP="0087493C">
      <w:pPr>
        <w:pStyle w:val="ListParagraph"/>
        <w:numPr>
          <w:ilvl w:val="0"/>
          <w:numId w:val="2"/>
        </w:numPr>
        <w:spacing w:after="0"/>
        <w:rPr>
          <w:rFonts w:ascii="Georgia" w:hAnsi="Georgia"/>
          <w:b/>
          <w:sz w:val="24"/>
          <w:szCs w:val="24"/>
        </w:rPr>
      </w:pPr>
      <w:r>
        <w:rPr>
          <w:rFonts w:ascii="Georgia" w:hAnsi="Georgia"/>
          <w:b/>
          <w:sz w:val="24"/>
          <w:szCs w:val="24"/>
        </w:rPr>
        <w:t>6th Circuit:</w:t>
      </w:r>
      <w:r>
        <w:rPr>
          <w:rFonts w:ascii="Georgia" w:hAnsi="Georgia"/>
          <w:bCs/>
          <w:sz w:val="24"/>
          <w:szCs w:val="24"/>
        </w:rPr>
        <w:t xml:space="preserve"> for the government.</w:t>
      </w:r>
    </w:p>
    <w:p w14:paraId="39E5742C" w14:textId="14394EEA" w:rsidR="0087493C" w:rsidRPr="0087493C" w:rsidRDefault="0087493C" w:rsidP="0087493C">
      <w:pPr>
        <w:pStyle w:val="ListParagraph"/>
        <w:numPr>
          <w:ilvl w:val="0"/>
          <w:numId w:val="2"/>
        </w:numPr>
        <w:spacing w:after="0"/>
        <w:rPr>
          <w:rFonts w:ascii="Georgia" w:hAnsi="Georgia"/>
          <w:b/>
          <w:sz w:val="24"/>
          <w:szCs w:val="24"/>
        </w:rPr>
      </w:pPr>
      <w:r>
        <w:rPr>
          <w:rFonts w:ascii="Georgia" w:hAnsi="Georgia"/>
          <w:b/>
          <w:sz w:val="24"/>
          <w:szCs w:val="24"/>
        </w:rPr>
        <w:t>Circuit Split</w:t>
      </w:r>
      <w:r>
        <w:rPr>
          <w:rFonts w:ascii="Georgia" w:hAnsi="Georgia"/>
          <w:bCs/>
          <w:sz w:val="24"/>
          <w:szCs w:val="24"/>
        </w:rPr>
        <w:t xml:space="preserve"> as to whether gov’t is allowed to split up the NTA.</w:t>
      </w:r>
    </w:p>
    <w:p w14:paraId="030E7ED7" w14:textId="77777777" w:rsidR="0087493C" w:rsidRDefault="0087493C" w:rsidP="00C87419">
      <w:pPr>
        <w:spacing w:after="0"/>
        <w:rPr>
          <w:rFonts w:ascii="Georgia" w:hAnsi="Georgia"/>
          <w:b/>
          <w:sz w:val="24"/>
          <w:szCs w:val="24"/>
        </w:rPr>
      </w:pPr>
    </w:p>
    <w:p w14:paraId="7C06D6B3" w14:textId="38CC81A7" w:rsidR="00E16E68" w:rsidRPr="006B3208" w:rsidRDefault="00E16E68" w:rsidP="00C87419">
      <w:pPr>
        <w:spacing w:after="0"/>
        <w:rPr>
          <w:rFonts w:ascii="Georgia" w:hAnsi="Georgia"/>
          <w:sz w:val="24"/>
          <w:szCs w:val="24"/>
        </w:rPr>
      </w:pPr>
      <w:r w:rsidRPr="006B3208">
        <w:rPr>
          <w:rFonts w:ascii="Georgia" w:hAnsi="Georgia"/>
          <w:b/>
          <w:sz w:val="24"/>
          <w:szCs w:val="24"/>
        </w:rPr>
        <w:t>Holdings:</w:t>
      </w:r>
      <w:r w:rsidR="00CC7EEE" w:rsidRPr="006B3208">
        <w:rPr>
          <w:rFonts w:ascii="Georgia" w:hAnsi="Georgia"/>
          <w:sz w:val="24"/>
          <w:szCs w:val="24"/>
        </w:rPr>
        <w:t xml:space="preserve"> </w:t>
      </w:r>
      <w:r w:rsidR="0087493C">
        <w:rPr>
          <w:rFonts w:ascii="Georgia" w:hAnsi="Georgia"/>
          <w:sz w:val="24"/>
          <w:szCs w:val="24"/>
        </w:rPr>
        <w:t>Reversed. “A” means “a”: a single NTA with all the info.</w:t>
      </w:r>
    </w:p>
    <w:p w14:paraId="2D677F8C" w14:textId="77777777" w:rsidR="00A65C5C" w:rsidRPr="006B3208" w:rsidRDefault="00A65C5C" w:rsidP="00C87419">
      <w:pPr>
        <w:spacing w:after="0"/>
        <w:rPr>
          <w:rFonts w:ascii="Georgia" w:hAnsi="Georgia"/>
          <w:sz w:val="24"/>
          <w:szCs w:val="24"/>
        </w:rPr>
      </w:pPr>
    </w:p>
    <w:p w14:paraId="7694F4B3" w14:textId="1709DA8C" w:rsidR="00A65C5C" w:rsidRPr="0087493C" w:rsidRDefault="00A65C5C" w:rsidP="00C87419">
      <w:pPr>
        <w:spacing w:after="0"/>
        <w:rPr>
          <w:rFonts w:ascii="Georgia" w:hAnsi="Georgia"/>
          <w:bCs/>
          <w:sz w:val="24"/>
          <w:szCs w:val="24"/>
        </w:rPr>
      </w:pPr>
      <w:r w:rsidRPr="006B3208">
        <w:rPr>
          <w:rFonts w:ascii="Georgia" w:hAnsi="Georgia"/>
          <w:b/>
          <w:sz w:val="24"/>
          <w:szCs w:val="24"/>
        </w:rPr>
        <w:t>Rationale:</w:t>
      </w:r>
      <w:r w:rsidR="0087493C">
        <w:rPr>
          <w:rFonts w:ascii="Georgia" w:hAnsi="Georgia"/>
          <w:bCs/>
          <w:sz w:val="24"/>
          <w:szCs w:val="24"/>
        </w:rPr>
        <w:t xml:space="preserve"> “As written, . . . the statute allows the government to invoke the stop-time rule only if it furnishes the alien with a single complaint document explaining what it intends to do and when.” Slip op., at 14.</w:t>
      </w:r>
    </w:p>
    <w:p w14:paraId="4B7C64DF" w14:textId="77777777" w:rsidR="00C87419" w:rsidRPr="006B3208" w:rsidRDefault="00C87419" w:rsidP="00C87419">
      <w:pPr>
        <w:spacing w:after="0"/>
        <w:rPr>
          <w:rFonts w:ascii="Georgia" w:hAnsi="Georgia"/>
          <w:b/>
          <w:sz w:val="24"/>
          <w:szCs w:val="24"/>
        </w:rPr>
      </w:pPr>
    </w:p>
    <w:p w14:paraId="113C21BB" w14:textId="132FE35B" w:rsidR="008E5B66" w:rsidRPr="0087493C" w:rsidRDefault="008E5B66" w:rsidP="00C87419">
      <w:pPr>
        <w:spacing w:after="0"/>
        <w:rPr>
          <w:rFonts w:ascii="Georgia" w:hAnsi="Georgia"/>
          <w:bCs/>
          <w:sz w:val="24"/>
          <w:szCs w:val="24"/>
        </w:rPr>
      </w:pPr>
      <w:r w:rsidRPr="006B3208">
        <w:rPr>
          <w:rFonts w:ascii="Georgia" w:hAnsi="Georgia"/>
          <w:b/>
          <w:sz w:val="24"/>
          <w:szCs w:val="24"/>
        </w:rPr>
        <w:t>Facts:</w:t>
      </w:r>
      <w:r w:rsidR="0087493C">
        <w:rPr>
          <w:rFonts w:ascii="Georgia" w:hAnsi="Georgia"/>
          <w:bCs/>
          <w:sz w:val="24"/>
          <w:szCs w:val="24"/>
        </w:rPr>
        <w:t xml:space="preserve"> DHS sent </w:t>
      </w:r>
      <w:proofErr w:type="spellStart"/>
      <w:r w:rsidR="0087493C">
        <w:rPr>
          <w:rFonts w:ascii="Georgia" w:hAnsi="Georgia"/>
          <w:bCs/>
          <w:sz w:val="24"/>
          <w:szCs w:val="24"/>
        </w:rPr>
        <w:t>Niz</w:t>
      </w:r>
      <w:proofErr w:type="spellEnd"/>
      <w:r w:rsidR="0087493C">
        <w:rPr>
          <w:rFonts w:ascii="Georgia" w:hAnsi="Georgia"/>
          <w:bCs/>
          <w:sz w:val="24"/>
          <w:szCs w:val="24"/>
        </w:rPr>
        <w:t xml:space="preserve">-Chavez one charging document, then two months later a document with the time and place of his hearing. First document isn’t enough to trigger stop-time rule under </w:t>
      </w:r>
      <w:r w:rsidR="0087493C">
        <w:rPr>
          <w:rFonts w:ascii="Georgia" w:hAnsi="Georgia"/>
          <w:bCs/>
          <w:i/>
          <w:iCs/>
          <w:sz w:val="24"/>
          <w:szCs w:val="24"/>
        </w:rPr>
        <w:t>Pereira</w:t>
      </w:r>
      <w:r w:rsidR="0087493C">
        <w:rPr>
          <w:rFonts w:ascii="Georgia" w:hAnsi="Georgia"/>
          <w:bCs/>
          <w:sz w:val="24"/>
          <w:szCs w:val="24"/>
        </w:rPr>
        <w:t xml:space="preserve">. </w:t>
      </w:r>
    </w:p>
    <w:p w14:paraId="107AA59D" w14:textId="77777777" w:rsidR="009917BC" w:rsidRPr="006B3208" w:rsidRDefault="009917BC" w:rsidP="008E5B66">
      <w:pPr>
        <w:spacing w:after="0"/>
        <w:rPr>
          <w:rFonts w:ascii="Georgia" w:hAnsi="Georgia"/>
          <w:b/>
          <w:sz w:val="24"/>
          <w:szCs w:val="24"/>
        </w:rPr>
      </w:pPr>
    </w:p>
    <w:p w14:paraId="4C302511" w14:textId="4D15AFDC" w:rsidR="008E5B66" w:rsidRDefault="008E5B66" w:rsidP="008E5B66">
      <w:pPr>
        <w:spacing w:after="0"/>
        <w:rPr>
          <w:rFonts w:ascii="Georgia" w:hAnsi="Georgia"/>
          <w:b/>
          <w:sz w:val="24"/>
          <w:szCs w:val="24"/>
        </w:rPr>
      </w:pPr>
      <w:r w:rsidRPr="006B3208">
        <w:rPr>
          <w:rFonts w:ascii="Georgia" w:hAnsi="Georgia"/>
          <w:b/>
          <w:sz w:val="24"/>
          <w:szCs w:val="24"/>
        </w:rPr>
        <w:t>Attorneys’ Arguments:</w:t>
      </w:r>
    </w:p>
    <w:p w14:paraId="54087A57" w14:textId="63167531" w:rsidR="0087493C" w:rsidRDefault="0087493C" w:rsidP="0087493C">
      <w:pPr>
        <w:pStyle w:val="ListParagraph"/>
        <w:numPr>
          <w:ilvl w:val="0"/>
          <w:numId w:val="2"/>
        </w:numPr>
        <w:spacing w:after="0"/>
        <w:rPr>
          <w:rFonts w:ascii="Georgia" w:hAnsi="Georgia"/>
          <w:sz w:val="24"/>
          <w:szCs w:val="24"/>
        </w:rPr>
      </w:pPr>
      <w:r>
        <w:rPr>
          <w:rFonts w:ascii="Georgia" w:hAnsi="Georgia"/>
          <w:sz w:val="24"/>
          <w:szCs w:val="24"/>
        </w:rPr>
        <w:t>Government:</w:t>
      </w:r>
    </w:p>
    <w:p w14:paraId="6F9ABE40" w14:textId="24423DBB" w:rsidR="0087493C" w:rsidRDefault="0087493C" w:rsidP="0087493C">
      <w:pPr>
        <w:pStyle w:val="ListParagraph"/>
        <w:numPr>
          <w:ilvl w:val="1"/>
          <w:numId w:val="2"/>
        </w:numPr>
        <w:spacing w:after="0"/>
        <w:rPr>
          <w:rFonts w:ascii="Georgia" w:hAnsi="Georgia"/>
          <w:sz w:val="24"/>
          <w:szCs w:val="24"/>
        </w:rPr>
      </w:pPr>
      <w:r>
        <w:rPr>
          <w:rFonts w:ascii="Georgia" w:hAnsi="Georgia"/>
          <w:sz w:val="24"/>
          <w:szCs w:val="24"/>
        </w:rPr>
        <w:t>NTAs without time and place are sufficient to trigger the stop-time rule.</w:t>
      </w:r>
    </w:p>
    <w:p w14:paraId="1C46F452" w14:textId="54D9CDE4" w:rsidR="0087493C" w:rsidRDefault="0087493C" w:rsidP="0087493C">
      <w:pPr>
        <w:pStyle w:val="ListParagraph"/>
        <w:numPr>
          <w:ilvl w:val="1"/>
          <w:numId w:val="2"/>
        </w:numPr>
        <w:spacing w:after="0"/>
        <w:rPr>
          <w:rFonts w:ascii="Georgia" w:hAnsi="Georgia"/>
          <w:sz w:val="24"/>
          <w:szCs w:val="24"/>
        </w:rPr>
      </w:pPr>
      <w:r>
        <w:rPr>
          <w:rFonts w:ascii="Georgia" w:hAnsi="Georgia"/>
          <w:sz w:val="24"/>
          <w:szCs w:val="24"/>
        </w:rPr>
        <w:t>“If it waited to issue notices until the calendars of its hearing officers became clear, aliens would accrue too much time toward the presence requirement.”  Slip op., at 3.</w:t>
      </w:r>
    </w:p>
    <w:p w14:paraId="33887271" w14:textId="70BFB35B" w:rsidR="0087493C" w:rsidRDefault="0087493C" w:rsidP="0087493C">
      <w:pPr>
        <w:pStyle w:val="ListParagraph"/>
        <w:numPr>
          <w:ilvl w:val="1"/>
          <w:numId w:val="2"/>
        </w:numPr>
        <w:spacing w:after="0"/>
        <w:rPr>
          <w:rFonts w:ascii="Georgia" w:hAnsi="Georgia"/>
          <w:sz w:val="24"/>
          <w:szCs w:val="24"/>
        </w:rPr>
      </w:pPr>
      <w:r>
        <w:rPr>
          <w:rFonts w:ascii="Georgia" w:hAnsi="Georgia"/>
          <w:sz w:val="24"/>
          <w:szCs w:val="24"/>
        </w:rPr>
        <w:t>Statute defines “notice to appear” as “written notice,” “which could come by means of one document or many.”  Slip op., at 5.</w:t>
      </w:r>
    </w:p>
    <w:p w14:paraId="436A7803" w14:textId="0F03F79D" w:rsidR="0087493C" w:rsidRPr="0087493C" w:rsidRDefault="0087493C" w:rsidP="0087493C">
      <w:pPr>
        <w:pStyle w:val="ListParagraph"/>
        <w:numPr>
          <w:ilvl w:val="1"/>
          <w:numId w:val="2"/>
        </w:numPr>
        <w:spacing w:after="0"/>
        <w:rPr>
          <w:rFonts w:ascii="Georgia" w:hAnsi="Georgia"/>
          <w:sz w:val="24"/>
          <w:szCs w:val="24"/>
        </w:rPr>
      </w:pPr>
      <w:r>
        <w:rPr>
          <w:rFonts w:ascii="Georgia" w:hAnsi="Georgia"/>
          <w:sz w:val="24"/>
          <w:szCs w:val="24"/>
        </w:rPr>
        <w:t>Also, “a” could designate something that could be prepared in parts.</w:t>
      </w:r>
    </w:p>
    <w:p w14:paraId="6E0ADD62" w14:textId="77777777" w:rsidR="008E5B66" w:rsidRPr="006B3208" w:rsidRDefault="008E5B66" w:rsidP="00C87419">
      <w:pPr>
        <w:spacing w:after="0"/>
        <w:rPr>
          <w:rFonts w:ascii="Georgia" w:hAnsi="Georgia"/>
          <w:b/>
          <w:sz w:val="24"/>
          <w:szCs w:val="24"/>
        </w:rPr>
      </w:pPr>
    </w:p>
    <w:p w14:paraId="31DBDB22" w14:textId="77777777" w:rsidR="00C87419" w:rsidRPr="006B3208" w:rsidRDefault="00C87419" w:rsidP="00C87419">
      <w:pPr>
        <w:spacing w:after="0"/>
        <w:rPr>
          <w:rFonts w:ascii="Georgia" w:hAnsi="Georgia"/>
          <w:b/>
          <w:sz w:val="24"/>
          <w:szCs w:val="24"/>
        </w:rPr>
      </w:pPr>
    </w:p>
    <w:p w14:paraId="5A727BCB" w14:textId="430354CE" w:rsidR="00552EC4" w:rsidRDefault="00552EC4" w:rsidP="00C87419">
      <w:pPr>
        <w:spacing w:after="0"/>
        <w:rPr>
          <w:rFonts w:ascii="Georgia" w:hAnsi="Georgia"/>
          <w:b/>
          <w:sz w:val="24"/>
          <w:szCs w:val="24"/>
        </w:rPr>
      </w:pPr>
      <w:r w:rsidRPr="006B3208">
        <w:rPr>
          <w:rFonts w:ascii="Georgia" w:hAnsi="Georgia"/>
          <w:b/>
          <w:sz w:val="24"/>
          <w:szCs w:val="24"/>
        </w:rPr>
        <w:t>Appeals to Statute &amp; Precedent:</w:t>
      </w:r>
    </w:p>
    <w:p w14:paraId="71D942F7" w14:textId="06CAB593" w:rsidR="0087493C" w:rsidRDefault="0087493C" w:rsidP="0087493C">
      <w:pPr>
        <w:pStyle w:val="ListParagraph"/>
        <w:numPr>
          <w:ilvl w:val="0"/>
          <w:numId w:val="2"/>
        </w:numPr>
        <w:spacing w:after="0"/>
        <w:rPr>
          <w:rFonts w:ascii="Georgia" w:hAnsi="Georgia"/>
          <w:b/>
          <w:sz w:val="24"/>
          <w:szCs w:val="24"/>
        </w:rPr>
      </w:pPr>
      <w:r>
        <w:rPr>
          <w:rFonts w:ascii="Georgia" w:hAnsi="Georgia"/>
          <w:b/>
          <w:sz w:val="24"/>
          <w:szCs w:val="24"/>
        </w:rPr>
        <w:t>IIRIRA (1996):</w:t>
      </w:r>
      <w:r>
        <w:rPr>
          <w:rFonts w:ascii="Georgia" w:hAnsi="Georgia"/>
          <w:bCs/>
          <w:sz w:val="24"/>
          <w:szCs w:val="24"/>
        </w:rPr>
        <w:t xml:space="preserve"> Deferred removal; stop-time rule</w:t>
      </w:r>
    </w:p>
    <w:p w14:paraId="5A0BC3BE" w14:textId="0ACE5DE6" w:rsidR="0087493C" w:rsidRPr="0087493C" w:rsidRDefault="0087493C" w:rsidP="0087493C">
      <w:pPr>
        <w:pStyle w:val="ListParagraph"/>
        <w:numPr>
          <w:ilvl w:val="0"/>
          <w:numId w:val="2"/>
        </w:numPr>
        <w:spacing w:after="0"/>
        <w:rPr>
          <w:rFonts w:ascii="Georgia" w:hAnsi="Georgia"/>
          <w:b/>
          <w:sz w:val="24"/>
          <w:szCs w:val="24"/>
        </w:rPr>
      </w:pPr>
      <w:r>
        <w:rPr>
          <w:rFonts w:ascii="Georgia" w:hAnsi="Georgia"/>
          <w:b/>
          <w:i/>
          <w:iCs/>
          <w:sz w:val="24"/>
          <w:szCs w:val="24"/>
        </w:rPr>
        <w:t>In re Cisneros-Gonzales</w:t>
      </w:r>
      <w:r>
        <w:rPr>
          <w:rFonts w:ascii="Georgia" w:hAnsi="Georgia"/>
          <w:b/>
          <w:sz w:val="24"/>
          <w:szCs w:val="24"/>
        </w:rPr>
        <w:t>, 23 I. &amp; N. Dec. 668 (BIA 2004):</w:t>
      </w:r>
      <w:r>
        <w:rPr>
          <w:rFonts w:ascii="Georgia" w:hAnsi="Georgia"/>
          <w:bCs/>
          <w:sz w:val="24"/>
          <w:szCs w:val="24"/>
        </w:rPr>
        <w:t xml:space="preserve"> stopping the clock on 10-year rule</w:t>
      </w:r>
    </w:p>
    <w:p w14:paraId="29F506EA" w14:textId="6F78A311" w:rsidR="0087493C" w:rsidRPr="0087493C" w:rsidRDefault="0087493C" w:rsidP="0087493C">
      <w:pPr>
        <w:pStyle w:val="ListParagraph"/>
        <w:numPr>
          <w:ilvl w:val="0"/>
          <w:numId w:val="2"/>
        </w:numPr>
        <w:spacing w:after="0"/>
        <w:rPr>
          <w:rFonts w:ascii="Georgia" w:hAnsi="Georgia"/>
          <w:b/>
          <w:sz w:val="24"/>
          <w:szCs w:val="24"/>
        </w:rPr>
      </w:pPr>
      <w:r>
        <w:rPr>
          <w:rFonts w:ascii="Georgia" w:hAnsi="Georgia"/>
          <w:b/>
          <w:i/>
          <w:iCs/>
          <w:sz w:val="24"/>
          <w:szCs w:val="24"/>
        </w:rPr>
        <w:t>Pereira v. Sessions</w:t>
      </w:r>
      <w:r>
        <w:rPr>
          <w:rFonts w:ascii="Georgia" w:hAnsi="Georgia"/>
          <w:b/>
          <w:sz w:val="24"/>
          <w:szCs w:val="24"/>
        </w:rPr>
        <w:t>, 585 U.S. ___ (2018):</w:t>
      </w:r>
      <w:r>
        <w:rPr>
          <w:rFonts w:ascii="Georgia" w:hAnsi="Georgia"/>
          <w:bCs/>
          <w:sz w:val="24"/>
          <w:szCs w:val="24"/>
        </w:rPr>
        <w:t xml:space="preserve"> NTA has to have time, date, and place on it.</w:t>
      </w:r>
    </w:p>
    <w:p w14:paraId="75040FC8" w14:textId="77777777" w:rsidR="00C87419" w:rsidRPr="006B3208" w:rsidRDefault="00C87419" w:rsidP="00C87419">
      <w:pPr>
        <w:spacing w:after="0"/>
        <w:rPr>
          <w:rFonts w:ascii="Georgia" w:hAnsi="Georgia"/>
          <w:b/>
          <w:sz w:val="24"/>
          <w:szCs w:val="24"/>
        </w:rPr>
      </w:pPr>
    </w:p>
    <w:p w14:paraId="37DE6138" w14:textId="77777777" w:rsidR="00A65C5C" w:rsidRPr="006B3208" w:rsidRDefault="00A65C5C" w:rsidP="00C87419">
      <w:pPr>
        <w:spacing w:after="0"/>
        <w:rPr>
          <w:rFonts w:ascii="Georgia" w:hAnsi="Georgia"/>
          <w:b/>
          <w:sz w:val="24"/>
          <w:szCs w:val="24"/>
        </w:rPr>
      </w:pPr>
    </w:p>
    <w:p w14:paraId="69447B08" w14:textId="1E8BE088" w:rsidR="009917BC" w:rsidRDefault="009917BC" w:rsidP="00C87419">
      <w:pPr>
        <w:spacing w:after="0"/>
        <w:rPr>
          <w:rFonts w:ascii="Georgia" w:hAnsi="Georgia"/>
          <w:b/>
          <w:sz w:val="24"/>
          <w:szCs w:val="24"/>
        </w:rPr>
      </w:pPr>
      <w:r w:rsidRPr="006B3208">
        <w:rPr>
          <w:rFonts w:ascii="Georgia" w:hAnsi="Georgia"/>
          <w:b/>
          <w:sz w:val="24"/>
          <w:szCs w:val="24"/>
        </w:rPr>
        <w:lastRenderedPageBreak/>
        <w:t xml:space="preserve">Relevant </w:t>
      </w:r>
      <w:r w:rsidR="00757CDB" w:rsidRPr="006B3208">
        <w:rPr>
          <w:rFonts w:ascii="Georgia" w:hAnsi="Georgia"/>
          <w:b/>
          <w:sz w:val="24"/>
          <w:szCs w:val="24"/>
        </w:rPr>
        <w:t xml:space="preserve">U.S. </w:t>
      </w:r>
      <w:r w:rsidRPr="006B3208">
        <w:rPr>
          <w:rFonts w:ascii="Georgia" w:hAnsi="Georgia"/>
          <w:b/>
          <w:sz w:val="24"/>
          <w:szCs w:val="24"/>
        </w:rPr>
        <w:t>History:</w:t>
      </w:r>
    </w:p>
    <w:p w14:paraId="773173FB" w14:textId="692AB9BA" w:rsidR="0087493C" w:rsidRPr="0087493C" w:rsidRDefault="0087493C" w:rsidP="0087493C">
      <w:pPr>
        <w:pStyle w:val="ListParagraph"/>
        <w:numPr>
          <w:ilvl w:val="0"/>
          <w:numId w:val="2"/>
        </w:numPr>
        <w:spacing w:after="0"/>
        <w:rPr>
          <w:rFonts w:ascii="Georgia" w:hAnsi="Georgia"/>
          <w:b/>
          <w:sz w:val="24"/>
          <w:szCs w:val="24"/>
        </w:rPr>
      </w:pPr>
      <w:r>
        <w:rPr>
          <w:rFonts w:ascii="Georgia" w:hAnsi="Georgia"/>
          <w:b/>
          <w:sz w:val="24"/>
          <w:szCs w:val="24"/>
        </w:rPr>
        <w:t>Removability:</w:t>
      </w:r>
      <w:r>
        <w:rPr>
          <w:rFonts w:ascii="Georgia" w:hAnsi="Georgia"/>
          <w:bCs/>
          <w:sz w:val="24"/>
          <w:szCs w:val="24"/>
        </w:rPr>
        <w:t xml:space="preserve"> at the discretion of AG &amp; other executive officials.</w:t>
      </w:r>
    </w:p>
    <w:p w14:paraId="2723FE72" w14:textId="1BAD223C" w:rsidR="0087493C" w:rsidRPr="0087493C" w:rsidRDefault="0087493C" w:rsidP="0087493C">
      <w:pPr>
        <w:pStyle w:val="ListParagraph"/>
        <w:numPr>
          <w:ilvl w:val="1"/>
          <w:numId w:val="2"/>
        </w:numPr>
        <w:spacing w:after="0"/>
        <w:rPr>
          <w:rFonts w:ascii="Georgia" w:hAnsi="Georgia"/>
          <w:b/>
          <w:sz w:val="24"/>
          <w:szCs w:val="24"/>
        </w:rPr>
      </w:pPr>
      <w:r>
        <w:rPr>
          <w:rFonts w:ascii="Georgia" w:hAnsi="Georgia"/>
          <w:bCs/>
          <w:sz w:val="24"/>
          <w:szCs w:val="24"/>
        </w:rPr>
        <w:t>Establish eligibility:</w:t>
      </w:r>
    </w:p>
    <w:p w14:paraId="5C072B1E" w14:textId="597B19A5" w:rsidR="0087493C" w:rsidRPr="0087493C" w:rsidRDefault="0087493C" w:rsidP="0087493C">
      <w:pPr>
        <w:pStyle w:val="ListParagraph"/>
        <w:numPr>
          <w:ilvl w:val="2"/>
          <w:numId w:val="2"/>
        </w:numPr>
        <w:spacing w:after="0"/>
        <w:rPr>
          <w:rFonts w:ascii="Georgia" w:hAnsi="Georgia"/>
          <w:b/>
          <w:sz w:val="24"/>
          <w:szCs w:val="24"/>
        </w:rPr>
      </w:pPr>
      <w:r>
        <w:rPr>
          <w:rFonts w:ascii="Georgia" w:hAnsi="Georgia"/>
          <w:bCs/>
          <w:sz w:val="24"/>
          <w:szCs w:val="24"/>
        </w:rPr>
        <w:t>Removal would cause “exceptional and extremely unusual hardship” to close relatives who are U.S. citizens or LPRs</w:t>
      </w:r>
    </w:p>
    <w:p w14:paraId="6293A28F" w14:textId="126A5D23" w:rsidR="0087493C" w:rsidRPr="0087493C" w:rsidRDefault="0087493C" w:rsidP="0087493C">
      <w:pPr>
        <w:pStyle w:val="ListParagraph"/>
        <w:numPr>
          <w:ilvl w:val="2"/>
          <w:numId w:val="2"/>
        </w:numPr>
        <w:spacing w:after="0"/>
        <w:rPr>
          <w:rFonts w:ascii="Georgia" w:hAnsi="Georgia"/>
          <w:b/>
          <w:sz w:val="24"/>
          <w:szCs w:val="24"/>
        </w:rPr>
      </w:pPr>
      <w:r>
        <w:rPr>
          <w:rFonts w:ascii="Georgia" w:hAnsi="Georgia"/>
          <w:bCs/>
          <w:sz w:val="24"/>
          <w:szCs w:val="24"/>
        </w:rPr>
        <w:t>Good moral character</w:t>
      </w:r>
    </w:p>
    <w:p w14:paraId="1583B832" w14:textId="6EAB7646" w:rsidR="0087493C" w:rsidRPr="0087493C" w:rsidRDefault="0087493C" w:rsidP="0087493C">
      <w:pPr>
        <w:pStyle w:val="ListParagraph"/>
        <w:numPr>
          <w:ilvl w:val="2"/>
          <w:numId w:val="2"/>
        </w:numPr>
        <w:spacing w:after="0"/>
        <w:rPr>
          <w:rFonts w:ascii="Georgia" w:hAnsi="Georgia"/>
          <w:b/>
          <w:sz w:val="24"/>
          <w:szCs w:val="24"/>
        </w:rPr>
      </w:pPr>
      <w:r>
        <w:rPr>
          <w:rFonts w:ascii="Georgia" w:hAnsi="Georgia"/>
          <w:bCs/>
          <w:sz w:val="24"/>
          <w:szCs w:val="24"/>
        </w:rPr>
        <w:t>No convictions of certain crimes</w:t>
      </w:r>
    </w:p>
    <w:p w14:paraId="42E54B73" w14:textId="661A0E1C" w:rsidR="0087493C" w:rsidRPr="0087493C" w:rsidRDefault="0087493C" w:rsidP="0087493C">
      <w:pPr>
        <w:pStyle w:val="ListParagraph"/>
        <w:numPr>
          <w:ilvl w:val="2"/>
          <w:numId w:val="2"/>
        </w:numPr>
        <w:spacing w:after="0"/>
        <w:rPr>
          <w:rFonts w:ascii="Georgia" w:hAnsi="Georgia"/>
          <w:b/>
          <w:sz w:val="24"/>
          <w:szCs w:val="24"/>
        </w:rPr>
      </w:pPr>
      <w:r>
        <w:rPr>
          <w:rFonts w:ascii="Georgia" w:hAnsi="Georgia"/>
          <w:bCs/>
          <w:sz w:val="24"/>
          <w:szCs w:val="24"/>
        </w:rPr>
        <w:t xml:space="preserve">Continuously present for 10 years. </w:t>
      </w:r>
      <w:r>
        <w:rPr>
          <w:rFonts w:ascii="Georgia" w:hAnsi="Georgia"/>
          <w:b/>
          <w:sz w:val="24"/>
          <w:szCs w:val="24"/>
        </w:rPr>
        <w:t>8 U.S.C. §1229b(b)(1)</w:t>
      </w:r>
    </w:p>
    <w:p w14:paraId="109C40BC" w14:textId="0BBECAB9" w:rsidR="0087493C" w:rsidRPr="0087493C" w:rsidRDefault="0087493C" w:rsidP="0087493C">
      <w:pPr>
        <w:pStyle w:val="ListParagraph"/>
        <w:numPr>
          <w:ilvl w:val="1"/>
          <w:numId w:val="2"/>
        </w:numPr>
        <w:spacing w:after="0"/>
        <w:rPr>
          <w:rFonts w:ascii="Georgia" w:hAnsi="Georgia"/>
          <w:b/>
          <w:sz w:val="24"/>
          <w:szCs w:val="24"/>
        </w:rPr>
      </w:pPr>
      <w:r>
        <w:rPr>
          <w:rFonts w:ascii="Georgia" w:hAnsi="Georgia"/>
          <w:bCs/>
          <w:sz w:val="24"/>
          <w:szCs w:val="24"/>
        </w:rPr>
        <w:t xml:space="preserve">Stop-time rule: the NTA </w:t>
      </w:r>
      <w:r>
        <w:rPr>
          <w:rFonts w:ascii="Georgia" w:hAnsi="Georgia"/>
          <w:b/>
          <w:sz w:val="24"/>
          <w:szCs w:val="24"/>
        </w:rPr>
        <w:t>8 U.S.C. §1229b(d)(1)</w:t>
      </w:r>
    </w:p>
    <w:p w14:paraId="3173E370" w14:textId="77615D7E" w:rsidR="0087493C" w:rsidRPr="0087493C" w:rsidRDefault="0087493C" w:rsidP="0087493C">
      <w:pPr>
        <w:pStyle w:val="ListParagraph"/>
        <w:numPr>
          <w:ilvl w:val="2"/>
          <w:numId w:val="2"/>
        </w:numPr>
        <w:spacing w:after="0"/>
        <w:rPr>
          <w:rFonts w:ascii="Georgia" w:hAnsi="Georgia"/>
          <w:b/>
          <w:sz w:val="24"/>
          <w:szCs w:val="24"/>
        </w:rPr>
      </w:pPr>
      <w:r>
        <w:rPr>
          <w:rFonts w:ascii="Georgia" w:hAnsi="Georgia"/>
          <w:bCs/>
          <w:sz w:val="24"/>
          <w:szCs w:val="24"/>
        </w:rPr>
        <w:t>“</w:t>
      </w:r>
      <w:r w:rsidRPr="0087493C">
        <w:rPr>
          <w:rFonts w:ascii="Georgia" w:hAnsi="Georgia"/>
          <w:bCs/>
          <w:color w:val="C00000"/>
          <w:sz w:val="24"/>
          <w:szCs w:val="24"/>
        </w:rPr>
        <w:t>any period of continuous . . . presence in the U.S. shall be deemed to end . . . when the alien is served a notice to appear</w:t>
      </w:r>
      <w:r>
        <w:rPr>
          <w:rFonts w:ascii="Georgia" w:hAnsi="Georgia"/>
          <w:bCs/>
          <w:sz w:val="24"/>
          <w:szCs w:val="24"/>
        </w:rPr>
        <w:t>.”</w:t>
      </w:r>
    </w:p>
    <w:p w14:paraId="6D4C9698" w14:textId="19CEE626" w:rsidR="0087493C" w:rsidRPr="0087493C" w:rsidRDefault="0087493C" w:rsidP="0087493C">
      <w:pPr>
        <w:pStyle w:val="ListParagraph"/>
        <w:numPr>
          <w:ilvl w:val="1"/>
          <w:numId w:val="2"/>
        </w:numPr>
        <w:spacing w:after="0"/>
        <w:rPr>
          <w:rFonts w:ascii="Georgia" w:hAnsi="Georgia"/>
          <w:b/>
          <w:sz w:val="24"/>
          <w:szCs w:val="24"/>
        </w:rPr>
      </w:pPr>
      <w:r>
        <w:rPr>
          <w:rFonts w:ascii="Georgia" w:hAnsi="Georgia"/>
          <w:b/>
          <w:sz w:val="24"/>
          <w:szCs w:val="24"/>
        </w:rPr>
        <w:t xml:space="preserve">Notice </w:t>
      </w:r>
      <w:proofErr w:type="gramStart"/>
      <w:r>
        <w:rPr>
          <w:rFonts w:ascii="Georgia" w:hAnsi="Georgia"/>
          <w:b/>
          <w:sz w:val="24"/>
          <w:szCs w:val="24"/>
        </w:rPr>
        <w:t>To</w:t>
      </w:r>
      <w:proofErr w:type="gramEnd"/>
      <w:r>
        <w:rPr>
          <w:rFonts w:ascii="Georgia" w:hAnsi="Georgia"/>
          <w:b/>
          <w:sz w:val="24"/>
          <w:szCs w:val="24"/>
        </w:rPr>
        <w:t xml:space="preserve"> Appear:</w:t>
      </w:r>
    </w:p>
    <w:p w14:paraId="346B15F8" w14:textId="48501B3A" w:rsidR="0087493C" w:rsidRPr="0087493C" w:rsidRDefault="0087493C" w:rsidP="0087493C">
      <w:pPr>
        <w:pStyle w:val="ListParagraph"/>
        <w:numPr>
          <w:ilvl w:val="2"/>
          <w:numId w:val="2"/>
        </w:numPr>
        <w:spacing w:after="0"/>
        <w:rPr>
          <w:rFonts w:ascii="Georgia" w:hAnsi="Georgia"/>
          <w:b/>
          <w:sz w:val="24"/>
          <w:szCs w:val="24"/>
        </w:rPr>
      </w:pPr>
      <w:r>
        <w:rPr>
          <w:rFonts w:ascii="Georgia" w:hAnsi="Georgia"/>
          <w:bCs/>
          <w:sz w:val="24"/>
          <w:szCs w:val="24"/>
        </w:rPr>
        <w:t xml:space="preserve">Written notice with nature of proceedings, legal authority, charges, right to counsel, time and place, consequences of failing to appear. </w:t>
      </w:r>
      <w:r>
        <w:rPr>
          <w:rFonts w:ascii="Georgia" w:hAnsi="Georgia"/>
          <w:b/>
          <w:sz w:val="24"/>
          <w:szCs w:val="24"/>
        </w:rPr>
        <w:t>8 U.S.C. §1229(a)(1)</w:t>
      </w:r>
    </w:p>
    <w:p w14:paraId="0330CC02" w14:textId="77777777" w:rsidR="009917BC" w:rsidRPr="006B3208" w:rsidRDefault="009917BC" w:rsidP="00C87419">
      <w:pPr>
        <w:spacing w:after="0"/>
        <w:rPr>
          <w:rFonts w:ascii="Georgia" w:hAnsi="Georgia"/>
          <w:b/>
          <w:sz w:val="24"/>
          <w:szCs w:val="24"/>
        </w:rPr>
      </w:pPr>
    </w:p>
    <w:p w14:paraId="020F2400" w14:textId="7B9E42CE" w:rsidR="00E16E68" w:rsidRDefault="0087493C" w:rsidP="00C87419">
      <w:pPr>
        <w:spacing w:after="0"/>
        <w:rPr>
          <w:rFonts w:ascii="Georgia" w:hAnsi="Georgia"/>
          <w:bCs/>
          <w:sz w:val="24"/>
          <w:szCs w:val="24"/>
        </w:rPr>
      </w:pPr>
      <w:r>
        <w:rPr>
          <w:rFonts w:ascii="Georgia" w:hAnsi="Georgia"/>
          <w:b/>
          <w:sz w:val="24"/>
          <w:szCs w:val="24"/>
        </w:rPr>
        <w:t>Discussion</w:t>
      </w:r>
      <w:r w:rsidR="00E16E68" w:rsidRPr="006B3208">
        <w:rPr>
          <w:rFonts w:ascii="Georgia" w:hAnsi="Georgia"/>
          <w:b/>
          <w:sz w:val="24"/>
          <w:szCs w:val="24"/>
        </w:rPr>
        <w:t>:</w:t>
      </w:r>
    </w:p>
    <w:p w14:paraId="0175CFD4" w14:textId="05BB9C75" w:rsidR="0087493C" w:rsidRDefault="0087493C" w:rsidP="00C87419">
      <w:pPr>
        <w:spacing w:after="0"/>
        <w:rPr>
          <w:rFonts w:ascii="Georgia" w:hAnsi="Georgia"/>
          <w:bCs/>
          <w:sz w:val="24"/>
          <w:szCs w:val="24"/>
        </w:rPr>
      </w:pPr>
      <w:r>
        <w:rPr>
          <w:rFonts w:ascii="Georgia" w:hAnsi="Georgia"/>
          <w:bCs/>
          <w:sz w:val="24"/>
          <w:szCs w:val="24"/>
        </w:rPr>
        <w:t>“At first blush, a notice to appear might seem to be just that—a single document containing all the information an individual needs to know about his removal hearing.”</w:t>
      </w:r>
      <w:r>
        <w:rPr>
          <w:rFonts w:ascii="Georgia" w:hAnsi="Georgia"/>
          <w:bCs/>
          <w:sz w:val="24"/>
          <w:szCs w:val="24"/>
        </w:rPr>
        <w:tab/>
        <w:t>(Slip op., at 1)</w:t>
      </w:r>
    </w:p>
    <w:p w14:paraId="08F9BADA" w14:textId="6F81F517" w:rsidR="0087493C" w:rsidRDefault="0087493C" w:rsidP="00C87419">
      <w:pPr>
        <w:spacing w:after="0"/>
        <w:rPr>
          <w:rFonts w:ascii="Georgia" w:hAnsi="Georgia"/>
          <w:bCs/>
          <w:sz w:val="24"/>
          <w:szCs w:val="24"/>
        </w:rPr>
      </w:pPr>
    </w:p>
    <w:p w14:paraId="67A46086" w14:textId="3B386710" w:rsidR="0087493C" w:rsidRDefault="0087493C" w:rsidP="00C87419">
      <w:pPr>
        <w:spacing w:after="0"/>
        <w:rPr>
          <w:rFonts w:ascii="Georgia" w:hAnsi="Georgia"/>
          <w:bCs/>
          <w:sz w:val="24"/>
          <w:szCs w:val="24"/>
        </w:rPr>
      </w:pPr>
      <w:r>
        <w:rPr>
          <w:rFonts w:ascii="Georgia" w:hAnsi="Georgia"/>
          <w:bCs/>
          <w:sz w:val="24"/>
          <w:szCs w:val="24"/>
        </w:rPr>
        <w:t>“All of which invites the question: What qualifies as a notice to appear sufficient to trigger the stop-time rule?”</w:t>
      </w:r>
      <w:r>
        <w:rPr>
          <w:rFonts w:ascii="Georgia" w:hAnsi="Georgia"/>
          <w:bCs/>
          <w:sz w:val="24"/>
          <w:szCs w:val="24"/>
        </w:rPr>
        <w:tab/>
        <w:t>Slip op., at 2</w:t>
      </w:r>
    </w:p>
    <w:p w14:paraId="462C46FE" w14:textId="2BAC6287" w:rsidR="0087493C" w:rsidRDefault="0087493C" w:rsidP="00C87419">
      <w:pPr>
        <w:spacing w:after="0"/>
        <w:rPr>
          <w:rFonts w:ascii="Georgia" w:hAnsi="Georgia"/>
          <w:bCs/>
          <w:sz w:val="24"/>
          <w:szCs w:val="24"/>
        </w:rPr>
      </w:pPr>
    </w:p>
    <w:p w14:paraId="0F4CB03C" w14:textId="13F60E50" w:rsidR="0087493C" w:rsidRDefault="0087493C" w:rsidP="00C87419">
      <w:pPr>
        <w:spacing w:after="0"/>
        <w:rPr>
          <w:rFonts w:ascii="Georgia" w:hAnsi="Georgia"/>
          <w:bCs/>
          <w:sz w:val="24"/>
          <w:szCs w:val="24"/>
        </w:rPr>
      </w:pPr>
      <w:r>
        <w:rPr>
          <w:rFonts w:ascii="Georgia" w:hAnsi="Georgia"/>
          <w:bCs/>
          <w:sz w:val="24"/>
          <w:szCs w:val="24"/>
        </w:rPr>
        <w:t>“This seemingly simple rule has generated outsized controversy.”</w:t>
      </w:r>
      <w:r>
        <w:rPr>
          <w:rFonts w:ascii="Georgia" w:hAnsi="Georgia"/>
          <w:bCs/>
          <w:sz w:val="24"/>
          <w:szCs w:val="24"/>
        </w:rPr>
        <w:tab/>
        <w:t>Slip op., at 2</w:t>
      </w:r>
    </w:p>
    <w:p w14:paraId="6DD53D3B" w14:textId="289AFFAA" w:rsidR="0087493C" w:rsidRDefault="0087493C" w:rsidP="00C87419">
      <w:pPr>
        <w:spacing w:after="0"/>
        <w:rPr>
          <w:rFonts w:ascii="Georgia" w:hAnsi="Georgia"/>
          <w:bCs/>
          <w:sz w:val="24"/>
          <w:szCs w:val="24"/>
        </w:rPr>
      </w:pPr>
    </w:p>
    <w:p w14:paraId="5D4EF7A5" w14:textId="6CD2FB16" w:rsidR="0087493C" w:rsidRDefault="0087493C" w:rsidP="00C87419">
      <w:pPr>
        <w:spacing w:after="0"/>
        <w:rPr>
          <w:rFonts w:ascii="Georgia" w:hAnsi="Georgia"/>
          <w:bCs/>
          <w:sz w:val="24"/>
          <w:szCs w:val="24"/>
        </w:rPr>
      </w:pPr>
      <w:r>
        <w:rPr>
          <w:rFonts w:ascii="Georgia" w:hAnsi="Georgia"/>
          <w:bCs/>
          <w:sz w:val="24"/>
          <w:szCs w:val="24"/>
        </w:rPr>
        <w:t xml:space="preserve">“Today’s case represents the next chapter in the same story. Perhaps the government could have responded to </w:t>
      </w:r>
      <w:r>
        <w:rPr>
          <w:rFonts w:ascii="Georgia" w:hAnsi="Georgia"/>
          <w:bCs/>
          <w:i/>
          <w:iCs/>
          <w:sz w:val="24"/>
          <w:szCs w:val="24"/>
        </w:rPr>
        <w:t>Pereira</w:t>
      </w:r>
      <w:r>
        <w:rPr>
          <w:rFonts w:ascii="Georgia" w:hAnsi="Georgia"/>
          <w:bCs/>
          <w:sz w:val="24"/>
          <w:szCs w:val="24"/>
        </w:rPr>
        <w:t xml:space="preserve"> by issuing notices to appear with all the information §1229(a)(1) requires—and then amending the time or place information if circumstances required it. After all, in the very next statutory subsection, §1229(a)(2), Congress expressly contemplated that possibility. But, at least in cases like ours, it seems the government has chosen instead to continue down the same old path.” Slip op., at 3.</w:t>
      </w:r>
    </w:p>
    <w:p w14:paraId="7C2546DC" w14:textId="3D1C6C45" w:rsidR="0087493C" w:rsidRDefault="0087493C" w:rsidP="00C87419">
      <w:pPr>
        <w:spacing w:after="0"/>
        <w:rPr>
          <w:rFonts w:ascii="Georgia" w:hAnsi="Georgia"/>
          <w:bCs/>
          <w:sz w:val="24"/>
          <w:szCs w:val="24"/>
        </w:rPr>
      </w:pPr>
    </w:p>
    <w:p w14:paraId="067277B3" w14:textId="6E3B455D" w:rsidR="0087493C" w:rsidRPr="0087493C" w:rsidRDefault="0087493C" w:rsidP="00C87419">
      <w:pPr>
        <w:spacing w:after="0"/>
        <w:rPr>
          <w:rFonts w:ascii="Georgia" w:hAnsi="Georgia"/>
          <w:bCs/>
          <w:sz w:val="24"/>
          <w:szCs w:val="24"/>
        </w:rPr>
      </w:pPr>
      <w:r>
        <w:rPr>
          <w:rFonts w:ascii="Georgia" w:hAnsi="Georgia"/>
          <w:bCs/>
          <w:sz w:val="24"/>
          <w:szCs w:val="24"/>
        </w:rPr>
        <w:t>“The government says it needs this kind of flexibility to send information piecemeal.”</w:t>
      </w:r>
      <w:r>
        <w:rPr>
          <w:rFonts w:ascii="Georgia" w:hAnsi="Georgia"/>
          <w:bCs/>
          <w:sz w:val="24"/>
          <w:szCs w:val="24"/>
        </w:rPr>
        <w:tab/>
        <w:t>Slip op., at 3.</w:t>
      </w:r>
    </w:p>
    <w:p w14:paraId="14AEC5D1" w14:textId="759521F9" w:rsidR="0087493C" w:rsidRDefault="0087493C" w:rsidP="00C87419">
      <w:pPr>
        <w:spacing w:after="0"/>
        <w:rPr>
          <w:rFonts w:ascii="Georgia" w:hAnsi="Georgia"/>
          <w:bCs/>
          <w:sz w:val="24"/>
          <w:szCs w:val="24"/>
        </w:rPr>
      </w:pPr>
    </w:p>
    <w:p w14:paraId="75454BC9" w14:textId="67AB110D" w:rsidR="0087493C" w:rsidRDefault="0087493C" w:rsidP="00C87419">
      <w:pPr>
        <w:spacing w:after="0"/>
        <w:rPr>
          <w:rFonts w:ascii="Georgia" w:hAnsi="Georgia"/>
          <w:bCs/>
          <w:sz w:val="24"/>
          <w:szCs w:val="24"/>
        </w:rPr>
      </w:pPr>
      <w:r>
        <w:rPr>
          <w:rFonts w:ascii="Georgia" w:hAnsi="Georgia"/>
          <w:bCs/>
          <w:sz w:val="24"/>
          <w:szCs w:val="24"/>
        </w:rPr>
        <w:t>“To trigger the stop-time rule, the government must serve ‘a’ notice containing all the information Congress has specified. To an ordinary reader—both in 1996 and today</w:t>
      </w:r>
      <w:proofErr w:type="gramStart"/>
      <w:r>
        <w:rPr>
          <w:rFonts w:ascii="Georgia" w:hAnsi="Georgia"/>
          <w:bCs/>
          <w:sz w:val="24"/>
          <w:szCs w:val="24"/>
        </w:rPr>
        <w:t>—‘</w:t>
      </w:r>
      <w:proofErr w:type="gramEnd"/>
      <w:r>
        <w:rPr>
          <w:rFonts w:ascii="Georgia" w:hAnsi="Georgia"/>
          <w:bCs/>
          <w:sz w:val="24"/>
          <w:szCs w:val="24"/>
        </w:rPr>
        <w:t>a’ notice would seem to suggest just that: ‘a” single document containing the required information, not a mishmash of pieces with some assembly required.”  Slip op., at 5.</w:t>
      </w:r>
    </w:p>
    <w:p w14:paraId="40E63FBC" w14:textId="5C27D6A1" w:rsidR="0087493C" w:rsidRDefault="0087493C" w:rsidP="00C87419">
      <w:pPr>
        <w:spacing w:after="0"/>
        <w:rPr>
          <w:rFonts w:ascii="Georgia" w:hAnsi="Georgia"/>
          <w:bCs/>
          <w:sz w:val="24"/>
          <w:szCs w:val="24"/>
        </w:rPr>
      </w:pPr>
    </w:p>
    <w:p w14:paraId="7F61B554" w14:textId="4D72DC1D" w:rsidR="0087493C" w:rsidRDefault="0087493C" w:rsidP="00C87419">
      <w:pPr>
        <w:spacing w:after="0"/>
        <w:rPr>
          <w:rFonts w:ascii="Georgia" w:hAnsi="Georgia"/>
          <w:bCs/>
          <w:sz w:val="24"/>
          <w:szCs w:val="24"/>
        </w:rPr>
      </w:pPr>
      <w:r>
        <w:rPr>
          <w:rFonts w:ascii="Georgia" w:hAnsi="Georgia"/>
          <w:bCs/>
          <w:sz w:val="24"/>
          <w:szCs w:val="24"/>
        </w:rPr>
        <w:t>Re. gov’t’s argument that “written notice” could be one document or many:</w:t>
      </w:r>
    </w:p>
    <w:p w14:paraId="4A731BFA" w14:textId="50E2FB5E" w:rsidR="0087493C" w:rsidRDefault="0087493C" w:rsidP="00C87419">
      <w:pPr>
        <w:spacing w:after="0"/>
        <w:rPr>
          <w:rFonts w:ascii="Georgia" w:hAnsi="Georgia"/>
          <w:bCs/>
          <w:sz w:val="24"/>
          <w:szCs w:val="24"/>
        </w:rPr>
      </w:pPr>
      <w:r>
        <w:rPr>
          <w:rFonts w:ascii="Georgia" w:hAnsi="Georgia"/>
          <w:bCs/>
          <w:sz w:val="24"/>
          <w:szCs w:val="24"/>
        </w:rPr>
        <w:t xml:space="preserve">“Section 1229(a)(1) says that ‘written notice’ is ‘referred to as a “notice to appear.”’ The singular article ‘a’ thus falls outside the defined term (‘notice to appear’) and modifies the entire definition. So even if we were to do exactly as the government suggests and substitute ‘written notice’ for ‘notice to appear,’ </w:t>
      </w:r>
      <w:r>
        <w:rPr>
          <w:rFonts w:ascii="Georgia" w:hAnsi="Georgia"/>
          <w:bCs/>
          <w:sz w:val="24"/>
          <w:szCs w:val="24"/>
        </w:rPr>
        <w:lastRenderedPageBreak/>
        <w:t>the law would still stubbornly require ‘a’ written notice containing all the required information.” Slip op., at 5.</w:t>
      </w:r>
    </w:p>
    <w:p w14:paraId="6D57B182" w14:textId="5841C67B" w:rsidR="0087493C" w:rsidRDefault="0087493C" w:rsidP="00C87419">
      <w:pPr>
        <w:spacing w:after="0"/>
        <w:rPr>
          <w:rFonts w:ascii="Georgia" w:hAnsi="Georgia"/>
          <w:bCs/>
          <w:sz w:val="24"/>
          <w:szCs w:val="24"/>
        </w:rPr>
      </w:pPr>
    </w:p>
    <w:p w14:paraId="6E683911" w14:textId="155B24DF" w:rsidR="0087493C" w:rsidRDefault="0087493C" w:rsidP="00C87419">
      <w:pPr>
        <w:spacing w:after="0"/>
        <w:rPr>
          <w:rFonts w:ascii="Georgia" w:hAnsi="Georgia"/>
          <w:bCs/>
          <w:sz w:val="24"/>
          <w:szCs w:val="24"/>
        </w:rPr>
      </w:pPr>
      <w:r>
        <w:rPr>
          <w:rFonts w:ascii="Georgia" w:hAnsi="Georgia"/>
          <w:bCs/>
          <w:sz w:val="24"/>
          <w:szCs w:val="24"/>
        </w:rPr>
        <w:t>“Admittedly, a lot here turns on a small word. In the view of some, too much.”  Slip op., at 5.</w:t>
      </w:r>
    </w:p>
    <w:p w14:paraId="59BF045A" w14:textId="1016E849" w:rsidR="0087493C" w:rsidRDefault="0087493C" w:rsidP="00C87419">
      <w:pPr>
        <w:spacing w:after="0"/>
        <w:rPr>
          <w:rFonts w:ascii="Georgia" w:hAnsi="Georgia"/>
          <w:bCs/>
          <w:sz w:val="24"/>
          <w:szCs w:val="24"/>
        </w:rPr>
      </w:pPr>
    </w:p>
    <w:p w14:paraId="59D9E819" w14:textId="70D1DDCA" w:rsidR="0087493C" w:rsidRDefault="0087493C" w:rsidP="00C87419">
      <w:pPr>
        <w:spacing w:after="0"/>
        <w:rPr>
          <w:rFonts w:ascii="Georgia" w:hAnsi="Georgia"/>
          <w:bCs/>
          <w:sz w:val="24"/>
          <w:szCs w:val="24"/>
        </w:rPr>
      </w:pPr>
      <w:r>
        <w:rPr>
          <w:rFonts w:ascii="Georgia" w:hAnsi="Georgia"/>
          <w:bCs/>
          <w:sz w:val="24"/>
          <w:szCs w:val="24"/>
        </w:rPr>
        <w:t>Re. Gov’t’s contention that “a” NTA could be prepared in parts:</w:t>
      </w:r>
    </w:p>
    <w:p w14:paraId="3E369182" w14:textId="42BC999E" w:rsidR="0087493C" w:rsidRDefault="0087493C" w:rsidP="00C87419">
      <w:pPr>
        <w:spacing w:after="0"/>
        <w:rPr>
          <w:rFonts w:ascii="Georgia" w:hAnsi="Georgia"/>
          <w:bCs/>
          <w:sz w:val="24"/>
          <w:szCs w:val="24"/>
        </w:rPr>
      </w:pPr>
      <w:r>
        <w:rPr>
          <w:rFonts w:ascii="Georgia" w:hAnsi="Georgia"/>
          <w:bCs/>
          <w:sz w:val="24"/>
          <w:szCs w:val="24"/>
        </w:rPr>
        <w:t xml:space="preserve">“The trouble with this response is that everyone admits language doesn’t always work this way. To build on an illustration we used in </w:t>
      </w:r>
      <w:r>
        <w:rPr>
          <w:rFonts w:ascii="Georgia" w:hAnsi="Georgia"/>
          <w:bCs/>
          <w:i/>
          <w:iCs/>
          <w:sz w:val="24"/>
          <w:szCs w:val="24"/>
        </w:rPr>
        <w:t>Pereira</w:t>
      </w:r>
      <w:r>
        <w:rPr>
          <w:rFonts w:ascii="Georgia" w:hAnsi="Georgia"/>
          <w:bCs/>
          <w:sz w:val="24"/>
          <w:szCs w:val="24"/>
        </w:rPr>
        <w:t xml:space="preserve">, someone who agrees to buy ‘a car’ would hardly expect to receive the chassis today, wheels next week, and an engine to follow. At best, then, all of the competing examples the government and dissent supply do no more than demonstrate context matters. And here at least, it tuns out that context does little to alter first impressions.”  Slip op., at 6. </w:t>
      </w:r>
    </w:p>
    <w:p w14:paraId="585E0A8E" w14:textId="2AC7C05B" w:rsidR="0087493C" w:rsidRDefault="0087493C" w:rsidP="00C87419">
      <w:pPr>
        <w:spacing w:after="0"/>
        <w:rPr>
          <w:rFonts w:ascii="Georgia" w:hAnsi="Georgia"/>
          <w:bCs/>
          <w:sz w:val="24"/>
          <w:szCs w:val="24"/>
        </w:rPr>
      </w:pPr>
    </w:p>
    <w:p w14:paraId="4C2B2392" w14:textId="126DA189" w:rsidR="0087493C" w:rsidRDefault="0087493C" w:rsidP="00C87419">
      <w:pPr>
        <w:spacing w:after="0"/>
        <w:rPr>
          <w:rFonts w:ascii="Georgia" w:hAnsi="Georgia"/>
          <w:bCs/>
          <w:sz w:val="24"/>
          <w:szCs w:val="24"/>
        </w:rPr>
      </w:pPr>
      <w:r>
        <w:rPr>
          <w:rFonts w:ascii="Georgia" w:hAnsi="Georgia"/>
          <w:bCs/>
          <w:sz w:val="24"/>
          <w:szCs w:val="24"/>
        </w:rPr>
        <w:t xml:space="preserve">“a” is used for countable nouns (we don’t say “a cowardice”). </w:t>
      </w:r>
    </w:p>
    <w:p w14:paraId="12DAAF55" w14:textId="7CAE155D" w:rsidR="0087493C" w:rsidRDefault="0087493C" w:rsidP="00C87419">
      <w:pPr>
        <w:spacing w:after="0"/>
        <w:rPr>
          <w:rFonts w:ascii="Georgia" w:hAnsi="Georgia"/>
          <w:bCs/>
          <w:sz w:val="24"/>
          <w:szCs w:val="24"/>
        </w:rPr>
      </w:pPr>
      <w:r>
        <w:rPr>
          <w:rFonts w:ascii="Georgia" w:hAnsi="Georgia"/>
          <w:bCs/>
          <w:sz w:val="24"/>
          <w:szCs w:val="24"/>
        </w:rPr>
        <w:t>“Congress’s decision to use the indefinite article ‘a’ thus supplies some evidence that it used the term in the first of these sense—as a discrete, countable thing. All of which suggests that the government must issue a single statutorily compliant document to trigger the stop-time rule.” Slip op., at 7.</w:t>
      </w:r>
    </w:p>
    <w:p w14:paraId="3D768D8B" w14:textId="0820D19C" w:rsidR="0087493C" w:rsidRDefault="0087493C" w:rsidP="00C87419">
      <w:pPr>
        <w:spacing w:after="0"/>
        <w:rPr>
          <w:rFonts w:ascii="Georgia" w:hAnsi="Georgia"/>
          <w:bCs/>
          <w:sz w:val="24"/>
          <w:szCs w:val="24"/>
        </w:rPr>
      </w:pPr>
    </w:p>
    <w:p w14:paraId="6E16056B" w14:textId="46DEA9BF" w:rsidR="0087493C" w:rsidRDefault="0087493C" w:rsidP="00C87419">
      <w:pPr>
        <w:spacing w:after="0"/>
        <w:rPr>
          <w:rFonts w:ascii="Georgia" w:hAnsi="Georgia"/>
          <w:bCs/>
          <w:sz w:val="24"/>
          <w:szCs w:val="24"/>
        </w:rPr>
      </w:pPr>
      <w:r>
        <w:rPr>
          <w:rFonts w:ascii="Georgia" w:hAnsi="Georgia"/>
          <w:bCs/>
          <w:sz w:val="24"/>
          <w:szCs w:val="24"/>
        </w:rPr>
        <w:t>“Of course, this is just a clue. Sometimes Congress’s statutes stray a good way from ordinary English.” Slip op. at 7</w:t>
      </w:r>
    </w:p>
    <w:p w14:paraId="6722F155" w14:textId="42913EC4" w:rsidR="0087493C" w:rsidRDefault="0087493C" w:rsidP="00C87419">
      <w:pPr>
        <w:spacing w:after="0"/>
        <w:rPr>
          <w:rFonts w:ascii="Georgia" w:hAnsi="Georgia"/>
          <w:bCs/>
          <w:sz w:val="24"/>
          <w:szCs w:val="24"/>
        </w:rPr>
      </w:pPr>
    </w:p>
    <w:p w14:paraId="30EA9426" w14:textId="7CBE9284" w:rsidR="0087493C" w:rsidRDefault="0087493C" w:rsidP="00C87419">
      <w:pPr>
        <w:spacing w:after="0"/>
        <w:rPr>
          <w:rFonts w:ascii="Georgia" w:hAnsi="Georgia"/>
          <w:bCs/>
          <w:sz w:val="24"/>
          <w:szCs w:val="24"/>
        </w:rPr>
      </w:pPr>
      <w:r>
        <w:rPr>
          <w:rFonts w:ascii="Georgia" w:hAnsi="Georgia"/>
          <w:bCs/>
          <w:sz w:val="24"/>
          <w:szCs w:val="24"/>
        </w:rPr>
        <w:t>Hypo:</w:t>
      </w:r>
    </w:p>
    <w:p w14:paraId="5921CCD4" w14:textId="0C0EDABF" w:rsidR="0087493C" w:rsidRDefault="0087493C" w:rsidP="00C87419">
      <w:pPr>
        <w:spacing w:after="0"/>
        <w:rPr>
          <w:rFonts w:ascii="Georgia" w:hAnsi="Georgia"/>
          <w:bCs/>
          <w:sz w:val="24"/>
          <w:szCs w:val="24"/>
        </w:rPr>
      </w:pPr>
      <w:r>
        <w:rPr>
          <w:rFonts w:ascii="Georgia" w:hAnsi="Georgia"/>
          <w:bCs/>
          <w:sz w:val="24"/>
          <w:szCs w:val="24"/>
        </w:rPr>
        <w:t>Robbing “a” bank (robbing 5 banks? Robbing a bank construction site?)</w:t>
      </w:r>
    </w:p>
    <w:p w14:paraId="6D206991" w14:textId="0F7ED6BD" w:rsidR="0087493C" w:rsidRDefault="0087493C" w:rsidP="00C87419">
      <w:pPr>
        <w:spacing w:after="0"/>
        <w:rPr>
          <w:rFonts w:ascii="Georgia" w:hAnsi="Georgia"/>
          <w:bCs/>
          <w:sz w:val="24"/>
          <w:szCs w:val="24"/>
        </w:rPr>
      </w:pPr>
    </w:p>
    <w:p w14:paraId="1000DC44" w14:textId="1E295862" w:rsidR="0087493C" w:rsidRDefault="0087493C" w:rsidP="00C87419">
      <w:pPr>
        <w:spacing w:after="0"/>
        <w:rPr>
          <w:rFonts w:ascii="Georgia" w:hAnsi="Georgia"/>
          <w:bCs/>
          <w:sz w:val="24"/>
          <w:szCs w:val="24"/>
        </w:rPr>
      </w:pPr>
      <w:r>
        <w:rPr>
          <w:rFonts w:ascii="Georgia" w:hAnsi="Georgia"/>
          <w:bCs/>
          <w:sz w:val="24"/>
          <w:szCs w:val="24"/>
        </w:rPr>
        <w:t>IIRIRA’s statutory structure &amp; history:</w:t>
      </w:r>
    </w:p>
    <w:p w14:paraId="33306558" w14:textId="56943BB4" w:rsidR="0087493C" w:rsidRDefault="0087493C" w:rsidP="00C87419">
      <w:pPr>
        <w:spacing w:after="0"/>
        <w:rPr>
          <w:rFonts w:ascii="Georgia" w:hAnsi="Georgia"/>
          <w:bCs/>
          <w:sz w:val="24"/>
          <w:szCs w:val="24"/>
        </w:rPr>
      </w:pPr>
      <w:r>
        <w:rPr>
          <w:rFonts w:ascii="Georgia" w:hAnsi="Georgia"/>
          <w:bCs/>
          <w:sz w:val="24"/>
          <w:szCs w:val="24"/>
        </w:rPr>
        <w:t>Evidence of single document</w:t>
      </w:r>
    </w:p>
    <w:p w14:paraId="0FC35F88" w14:textId="5534908A" w:rsidR="0087493C" w:rsidRDefault="0087493C" w:rsidP="00C87419">
      <w:pPr>
        <w:spacing w:after="0"/>
        <w:rPr>
          <w:rFonts w:ascii="Georgia" w:hAnsi="Georgia"/>
          <w:bCs/>
          <w:sz w:val="24"/>
          <w:szCs w:val="24"/>
        </w:rPr>
      </w:pPr>
    </w:p>
    <w:p w14:paraId="5C99D772" w14:textId="102A1DB3" w:rsidR="0087493C" w:rsidRDefault="0087493C" w:rsidP="00C87419">
      <w:pPr>
        <w:spacing w:after="0"/>
        <w:rPr>
          <w:rFonts w:ascii="Georgia" w:hAnsi="Georgia"/>
          <w:bCs/>
          <w:sz w:val="24"/>
          <w:szCs w:val="24"/>
        </w:rPr>
      </w:pPr>
      <w:r>
        <w:rPr>
          <w:rFonts w:ascii="Georgia" w:hAnsi="Georgia"/>
          <w:bCs/>
          <w:sz w:val="24"/>
          <w:szCs w:val="24"/>
        </w:rPr>
        <w:t>Section 1229(e)(1)’s discussion about what must be included in a notice to appear resides just a couple doors down from the provisions at issue before us, and it seems pretty clearly to modify those provisions in certain special circumstances.”   Slip op., at 10.</w:t>
      </w:r>
    </w:p>
    <w:p w14:paraId="3AC212A7" w14:textId="4252541B" w:rsidR="0087493C" w:rsidRDefault="0087493C" w:rsidP="00C87419">
      <w:pPr>
        <w:spacing w:after="0"/>
        <w:rPr>
          <w:rFonts w:ascii="Georgia" w:hAnsi="Georgia"/>
          <w:bCs/>
          <w:sz w:val="24"/>
          <w:szCs w:val="24"/>
        </w:rPr>
      </w:pPr>
    </w:p>
    <w:p w14:paraId="6B715591" w14:textId="614231EA" w:rsidR="0087493C" w:rsidRDefault="0087493C" w:rsidP="00C87419">
      <w:pPr>
        <w:spacing w:after="0"/>
        <w:rPr>
          <w:rFonts w:ascii="Georgia" w:hAnsi="Georgia"/>
          <w:bCs/>
          <w:sz w:val="24"/>
          <w:szCs w:val="24"/>
        </w:rPr>
      </w:pPr>
      <w:r>
        <w:rPr>
          <w:rFonts w:ascii="Georgia" w:hAnsi="Georgia"/>
          <w:bCs/>
          <w:sz w:val="24"/>
          <w:szCs w:val="24"/>
        </w:rPr>
        <w:t>“A rational Congress easily could have thought that measuring an alien’s period of residence against the service date of a discrete document was preferable to trying to measure it against a constellation of moving pieces.”</w:t>
      </w:r>
      <w:r>
        <w:rPr>
          <w:rFonts w:ascii="Georgia" w:hAnsi="Georgia"/>
          <w:bCs/>
          <w:sz w:val="24"/>
          <w:szCs w:val="24"/>
        </w:rPr>
        <w:tab/>
      </w:r>
      <w:r>
        <w:rPr>
          <w:rFonts w:ascii="Georgia" w:hAnsi="Georgia"/>
          <w:bCs/>
          <w:sz w:val="24"/>
          <w:szCs w:val="24"/>
        </w:rPr>
        <w:tab/>
        <w:t>Slip op., at 11-12.</w:t>
      </w:r>
    </w:p>
    <w:p w14:paraId="4381BF1D" w14:textId="638DA4F5" w:rsidR="0087493C" w:rsidRDefault="0087493C" w:rsidP="00C87419">
      <w:pPr>
        <w:spacing w:after="0"/>
        <w:rPr>
          <w:rFonts w:ascii="Georgia" w:hAnsi="Georgia"/>
          <w:bCs/>
          <w:sz w:val="24"/>
          <w:szCs w:val="24"/>
        </w:rPr>
      </w:pPr>
    </w:p>
    <w:p w14:paraId="4BFE3AA6" w14:textId="61491696" w:rsidR="0087493C" w:rsidRDefault="0087493C" w:rsidP="00C87419">
      <w:pPr>
        <w:spacing w:after="0"/>
        <w:rPr>
          <w:rFonts w:ascii="Georgia" w:hAnsi="Georgia"/>
          <w:bCs/>
          <w:sz w:val="24"/>
          <w:szCs w:val="24"/>
        </w:rPr>
      </w:pPr>
      <w:r>
        <w:rPr>
          <w:rFonts w:ascii="Georgia" w:hAnsi="Georgia"/>
          <w:bCs/>
          <w:sz w:val="24"/>
          <w:szCs w:val="24"/>
        </w:rPr>
        <w:t>Govt’s own rules about the NTA presuppose a single notice to appear: “we mention it only to observe that even the party now urging otherwise once read the statute just as we do. To the extent that dissent accuses us of being ‘literalists,’ it seems the literalists once infiltrated the Executive Branch too.”  Slip op., at 12.</w:t>
      </w:r>
    </w:p>
    <w:p w14:paraId="4BF464EA" w14:textId="79D0387A" w:rsidR="0087493C" w:rsidRDefault="0087493C" w:rsidP="00C87419">
      <w:pPr>
        <w:spacing w:after="0"/>
        <w:rPr>
          <w:rFonts w:ascii="Georgia" w:hAnsi="Georgia"/>
          <w:bCs/>
          <w:sz w:val="24"/>
          <w:szCs w:val="24"/>
        </w:rPr>
      </w:pPr>
    </w:p>
    <w:p w14:paraId="4413877F" w14:textId="1762C992" w:rsidR="0087493C" w:rsidRDefault="0087493C" w:rsidP="00C87419">
      <w:pPr>
        <w:spacing w:after="0"/>
        <w:rPr>
          <w:rFonts w:ascii="Georgia" w:hAnsi="Georgia"/>
          <w:bCs/>
          <w:sz w:val="24"/>
          <w:szCs w:val="24"/>
        </w:rPr>
      </w:pPr>
      <w:r>
        <w:rPr>
          <w:rFonts w:ascii="Georgia" w:hAnsi="Georgia"/>
          <w:bCs/>
          <w:sz w:val="24"/>
          <w:szCs w:val="24"/>
        </w:rPr>
        <w:t>“when interpreting this or any statute, we do not aim for ‘literal’ interpretations, but neither do we seek to indulge efforts to endow the Executive Branch with maximum bureaucratic flexibility.” Slip op., at 12.</w:t>
      </w:r>
    </w:p>
    <w:p w14:paraId="43DB98C4" w14:textId="5A806FEB" w:rsidR="0087493C" w:rsidRDefault="0087493C" w:rsidP="00C87419">
      <w:pPr>
        <w:spacing w:after="0"/>
        <w:rPr>
          <w:rFonts w:ascii="Georgia" w:hAnsi="Georgia"/>
          <w:bCs/>
          <w:sz w:val="24"/>
          <w:szCs w:val="24"/>
        </w:rPr>
      </w:pPr>
    </w:p>
    <w:p w14:paraId="0C52669C" w14:textId="1B8F8282" w:rsidR="0087493C" w:rsidRDefault="0087493C" w:rsidP="00C87419">
      <w:pPr>
        <w:spacing w:after="0"/>
        <w:rPr>
          <w:rFonts w:ascii="Georgia" w:hAnsi="Georgia"/>
          <w:bCs/>
          <w:sz w:val="24"/>
          <w:szCs w:val="24"/>
        </w:rPr>
      </w:pPr>
      <w:r>
        <w:rPr>
          <w:rFonts w:ascii="Georgia" w:hAnsi="Georgia"/>
          <w:bCs/>
          <w:sz w:val="24"/>
          <w:szCs w:val="24"/>
        </w:rPr>
        <w:lastRenderedPageBreak/>
        <w:t>“To state the theory may be enough to explain why the government declines to press it.” Slip op. at 11 n.4.</w:t>
      </w:r>
    </w:p>
    <w:p w14:paraId="6B8E71D7" w14:textId="52B24349" w:rsidR="0087493C" w:rsidRDefault="0087493C" w:rsidP="00C87419">
      <w:pPr>
        <w:spacing w:after="0"/>
        <w:rPr>
          <w:rFonts w:ascii="Georgia" w:hAnsi="Georgia"/>
          <w:bCs/>
          <w:sz w:val="24"/>
          <w:szCs w:val="24"/>
        </w:rPr>
      </w:pPr>
    </w:p>
    <w:p w14:paraId="1BCC1CDE" w14:textId="034A5515" w:rsidR="0087493C" w:rsidRDefault="0087493C" w:rsidP="00C87419">
      <w:pPr>
        <w:spacing w:after="0"/>
        <w:rPr>
          <w:rFonts w:ascii="Georgia" w:hAnsi="Georgia"/>
          <w:bCs/>
          <w:sz w:val="24"/>
          <w:szCs w:val="24"/>
        </w:rPr>
      </w:pPr>
      <w:r>
        <w:rPr>
          <w:rFonts w:ascii="Georgia" w:hAnsi="Georgia"/>
          <w:bCs/>
          <w:sz w:val="24"/>
          <w:szCs w:val="24"/>
        </w:rPr>
        <w:t>“Ultimately, the government is forced to abandon any pretense of interpreting the statute’s terms and retreat to policy arguments and pleas for deference.”  Slip op., at 13.</w:t>
      </w:r>
    </w:p>
    <w:p w14:paraId="55AEAF17" w14:textId="297FE27F" w:rsidR="0087493C" w:rsidRDefault="0087493C" w:rsidP="00C87419">
      <w:pPr>
        <w:spacing w:after="0"/>
        <w:rPr>
          <w:rFonts w:ascii="Georgia" w:hAnsi="Georgia"/>
          <w:bCs/>
          <w:sz w:val="24"/>
          <w:szCs w:val="24"/>
        </w:rPr>
      </w:pPr>
    </w:p>
    <w:p w14:paraId="2A20E426" w14:textId="11F99091" w:rsidR="0087493C" w:rsidRDefault="0087493C" w:rsidP="00C87419">
      <w:pPr>
        <w:spacing w:after="0"/>
        <w:rPr>
          <w:rFonts w:ascii="Georgia" w:hAnsi="Georgia"/>
          <w:bCs/>
          <w:sz w:val="24"/>
          <w:szCs w:val="24"/>
        </w:rPr>
      </w:pPr>
      <w:r>
        <w:rPr>
          <w:rFonts w:ascii="Georgia" w:hAnsi="Georgia"/>
          <w:bCs/>
          <w:sz w:val="24"/>
          <w:szCs w:val="24"/>
        </w:rPr>
        <w:t>“even viewed in isolation the government’s policy arguments are hardly unassailable. If the government finds filling out forms a chore, it has good company. The world is awash in forms, and rarely do agencies afford individuals the same latitude in completing them that the government seeks for itself today.”  Slip op., at 13.</w:t>
      </w:r>
    </w:p>
    <w:p w14:paraId="4B7100FE" w14:textId="493FEAC9" w:rsidR="0087493C" w:rsidRDefault="0087493C" w:rsidP="00C87419">
      <w:pPr>
        <w:spacing w:after="0"/>
        <w:rPr>
          <w:rFonts w:ascii="Georgia" w:hAnsi="Georgia"/>
          <w:bCs/>
          <w:sz w:val="24"/>
          <w:szCs w:val="24"/>
        </w:rPr>
      </w:pPr>
    </w:p>
    <w:p w14:paraId="341F0B0B" w14:textId="427F3DC4" w:rsidR="0087493C" w:rsidRDefault="0087493C" w:rsidP="00C87419">
      <w:pPr>
        <w:spacing w:after="0"/>
        <w:rPr>
          <w:rFonts w:ascii="Georgia" w:hAnsi="Georgia"/>
          <w:bCs/>
          <w:sz w:val="24"/>
          <w:szCs w:val="24"/>
        </w:rPr>
      </w:pPr>
      <w:r>
        <w:rPr>
          <w:rFonts w:ascii="Georgia" w:hAnsi="Georgia"/>
          <w:bCs/>
          <w:sz w:val="24"/>
          <w:szCs w:val="24"/>
        </w:rPr>
        <w:t>“At one level, today’s dispute may seem semantic, focused on a single word, a small one at that. But words are how the law constrains power. In this case, the law’s terms ensure that, when the federal government seeks a procedural advantage against an individual, it will at least supply him with a single and reasonably comprehensive statement of the nature of the proceedings against him. If men must turn square corners when they deal with the government, it cannot be too much to expect the government to turn square corners when it deals with them.”</w:t>
      </w:r>
      <w:r>
        <w:rPr>
          <w:rFonts w:ascii="Georgia" w:hAnsi="Georgia"/>
          <w:bCs/>
          <w:sz w:val="24"/>
          <w:szCs w:val="24"/>
        </w:rPr>
        <w:tab/>
      </w:r>
      <w:r>
        <w:rPr>
          <w:rFonts w:ascii="Georgia" w:hAnsi="Georgia"/>
          <w:bCs/>
          <w:sz w:val="24"/>
          <w:szCs w:val="24"/>
        </w:rPr>
        <w:tab/>
        <w:t>Slip op., at 16.</w:t>
      </w:r>
    </w:p>
    <w:p w14:paraId="0AE39D35" w14:textId="5912A198" w:rsidR="0087493C" w:rsidRDefault="0087493C" w:rsidP="00C87419">
      <w:pPr>
        <w:spacing w:after="0"/>
        <w:rPr>
          <w:rFonts w:ascii="Georgia" w:hAnsi="Georgia"/>
          <w:bCs/>
          <w:sz w:val="24"/>
          <w:szCs w:val="24"/>
        </w:rPr>
      </w:pPr>
    </w:p>
    <w:p w14:paraId="3ACE1C8D" w14:textId="77777777" w:rsidR="0087493C" w:rsidRPr="0087493C" w:rsidRDefault="0087493C" w:rsidP="00C87419">
      <w:pPr>
        <w:spacing w:after="0"/>
        <w:rPr>
          <w:rFonts w:ascii="Georgia" w:hAnsi="Georgia"/>
          <w:bCs/>
          <w:sz w:val="24"/>
          <w:szCs w:val="24"/>
        </w:rPr>
      </w:pPr>
    </w:p>
    <w:p w14:paraId="4C678377" w14:textId="4741547D" w:rsidR="00E16E68" w:rsidRDefault="00E16E68" w:rsidP="00C87419">
      <w:pPr>
        <w:spacing w:after="0"/>
        <w:rPr>
          <w:rFonts w:ascii="Georgia" w:hAnsi="Georgia"/>
          <w:bCs/>
          <w:sz w:val="24"/>
          <w:szCs w:val="24"/>
        </w:rPr>
      </w:pPr>
      <w:r w:rsidRPr="006B3208">
        <w:rPr>
          <w:rFonts w:ascii="Georgia" w:hAnsi="Georgia"/>
          <w:b/>
          <w:sz w:val="24"/>
          <w:szCs w:val="24"/>
        </w:rPr>
        <w:t>Dissent:</w:t>
      </w:r>
      <w:r w:rsidR="0087493C">
        <w:rPr>
          <w:rFonts w:ascii="Georgia" w:hAnsi="Georgia"/>
          <w:b/>
          <w:sz w:val="24"/>
          <w:szCs w:val="24"/>
        </w:rPr>
        <w:t xml:space="preserve"> Kavanaugh</w:t>
      </w:r>
    </w:p>
    <w:p w14:paraId="30532311" w14:textId="77777777" w:rsidR="0087493C" w:rsidRPr="0087493C" w:rsidRDefault="0087493C" w:rsidP="00C87419">
      <w:pPr>
        <w:spacing w:after="0"/>
        <w:rPr>
          <w:rFonts w:ascii="Georgia" w:hAnsi="Georgia"/>
          <w:bCs/>
          <w:sz w:val="24"/>
          <w:szCs w:val="24"/>
        </w:rPr>
      </w:pPr>
    </w:p>
    <w:p w14:paraId="3A2B470B" w14:textId="77777777" w:rsidR="00C87419" w:rsidRPr="006B3208" w:rsidRDefault="00C87419" w:rsidP="00C87419">
      <w:pPr>
        <w:spacing w:after="0"/>
        <w:rPr>
          <w:rFonts w:ascii="Georgia" w:hAnsi="Georgia"/>
          <w:b/>
          <w:sz w:val="24"/>
          <w:szCs w:val="24"/>
        </w:rPr>
      </w:pPr>
    </w:p>
    <w:p w14:paraId="2F8B3B96" w14:textId="77777777" w:rsidR="00E16E68" w:rsidRPr="006B3208" w:rsidRDefault="00E16E68" w:rsidP="00C87419">
      <w:pPr>
        <w:spacing w:after="0"/>
        <w:rPr>
          <w:rFonts w:ascii="Georgia" w:hAnsi="Georgia"/>
          <w:b/>
          <w:sz w:val="24"/>
          <w:szCs w:val="24"/>
        </w:rPr>
      </w:pPr>
    </w:p>
    <w:sectPr w:rsidR="00E16E68" w:rsidRPr="006B320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3FACF" w14:textId="77777777" w:rsidR="0062218B" w:rsidRDefault="0062218B" w:rsidP="00E16E68">
      <w:pPr>
        <w:spacing w:after="0" w:line="240" w:lineRule="auto"/>
      </w:pPr>
      <w:r>
        <w:separator/>
      </w:r>
    </w:p>
  </w:endnote>
  <w:endnote w:type="continuationSeparator" w:id="0">
    <w:p w14:paraId="32FD833D" w14:textId="77777777" w:rsidR="0062218B" w:rsidRDefault="0062218B"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393B4" w14:textId="77777777" w:rsidR="0062218B" w:rsidRDefault="0062218B" w:rsidP="00E16E68">
      <w:pPr>
        <w:spacing w:after="0" w:line="240" w:lineRule="auto"/>
      </w:pPr>
      <w:r>
        <w:separator/>
      </w:r>
    </w:p>
  </w:footnote>
  <w:footnote w:type="continuationSeparator" w:id="0">
    <w:p w14:paraId="263A6962" w14:textId="77777777" w:rsidR="0062218B" w:rsidRDefault="0062218B"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38783" w14:textId="41242FC1" w:rsidR="00E16E68" w:rsidRDefault="008E5B66" w:rsidP="00757CDB">
    <w:pPr>
      <w:pStyle w:val="Header"/>
      <w:jc w:val="right"/>
    </w:pPr>
    <w:r>
      <w:t>US</w:t>
    </w:r>
    <w:r w:rsidR="0016476D">
      <w:t xml:space="preserve"> </w:t>
    </w:r>
    <w:r w:rsidR="007D1AC2">
      <w:t>Supreme</w:t>
    </w:r>
    <w:r w:rsidR="0016476D">
      <w:t xml:space="preserve"> Court</w:t>
    </w:r>
    <w:r w:rsidR="00E16E68">
      <w:tab/>
    </w:r>
    <w:r w:rsidR="0087493C">
      <w:t>2021</w:t>
    </w:r>
    <w:r w:rsidR="00E16E68">
      <w:tab/>
    </w:r>
    <w:proofErr w:type="spellStart"/>
    <w:r w:rsidR="0087493C">
      <w:t>Niz</w:t>
    </w:r>
    <w:proofErr w:type="spellEnd"/>
    <w:r w:rsidR="0087493C">
      <w:t>-Chavez v. Garland</w:t>
    </w:r>
  </w:p>
  <w:p w14:paraId="3F3278A4" w14:textId="014398EB" w:rsidR="00552EC4" w:rsidRDefault="00552EC4" w:rsidP="00552EC4">
    <w:pPr>
      <w:pStyle w:val="Header"/>
      <w:jc w:val="right"/>
    </w:pPr>
    <w:r>
      <w:tab/>
    </w:r>
    <w:r>
      <w:tab/>
    </w:r>
    <w:r w:rsidR="0087493C">
      <w:t>NTAs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B2979"/>
    <w:multiLevelType w:val="hybridMultilevel"/>
    <w:tmpl w:val="C7C437F6"/>
    <w:lvl w:ilvl="0" w:tplc="F9A84B86">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54BBC"/>
    <w:rsid w:val="00144D3B"/>
    <w:rsid w:val="0016476D"/>
    <w:rsid w:val="001B0867"/>
    <w:rsid w:val="003E3B7E"/>
    <w:rsid w:val="00457D27"/>
    <w:rsid w:val="00552EC4"/>
    <w:rsid w:val="0062218B"/>
    <w:rsid w:val="006B3208"/>
    <w:rsid w:val="00757CDB"/>
    <w:rsid w:val="007D1AC2"/>
    <w:rsid w:val="0087493C"/>
    <w:rsid w:val="008A41F9"/>
    <w:rsid w:val="008E5B66"/>
    <w:rsid w:val="009917BC"/>
    <w:rsid w:val="009F1EB4"/>
    <w:rsid w:val="00A65C5C"/>
    <w:rsid w:val="00A71E2C"/>
    <w:rsid w:val="00B330E3"/>
    <w:rsid w:val="00B564E2"/>
    <w:rsid w:val="00B667F9"/>
    <w:rsid w:val="00B778D1"/>
    <w:rsid w:val="00C87419"/>
    <w:rsid w:val="00CC3AFE"/>
    <w:rsid w:val="00CC7EEE"/>
    <w:rsid w:val="00CD6DF7"/>
    <w:rsid w:val="00D66735"/>
    <w:rsid w:val="00E16E68"/>
    <w:rsid w:val="00E2134E"/>
    <w:rsid w:val="00EB1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F849C"/>
  <w15:docId w15:val="{71ED163D-15EE-6F44-9545-AE2977C02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1191</Words>
  <Characters>6790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cp:revision>
  <dcterms:created xsi:type="dcterms:W3CDTF">2021-05-10T18:25:00Z</dcterms:created>
  <dcterms:modified xsi:type="dcterms:W3CDTF">2021-05-10T18:25:00Z</dcterms:modified>
</cp:coreProperties>
</file>