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453BB7" w14:textId="18299041" w:rsidR="00CE41B9" w:rsidRPr="00936658" w:rsidRDefault="00077658" w:rsidP="009366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Immigration Court:</w:t>
      </w:r>
      <w:r w:rsidR="001A01EF">
        <w:rPr>
          <w:rFonts w:ascii="Times New Roman" w:hAnsi="Times New Roman" w:cs="Times New Roman"/>
          <w:b/>
          <w:sz w:val="24"/>
          <w:szCs w:val="24"/>
        </w:rPr>
        <w:t xml:space="preserve"> BIA</w:t>
      </w:r>
    </w:p>
    <w:p w14:paraId="20453BB8" w14:textId="67A55005" w:rsidR="00077658" w:rsidRPr="001A01EF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Case: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="001A01EF">
        <w:rPr>
          <w:rFonts w:ascii="Times New Roman" w:hAnsi="Times New Roman" w:cs="Times New Roman"/>
          <w:bCs/>
          <w:i/>
          <w:iCs/>
          <w:sz w:val="24"/>
          <w:szCs w:val="24"/>
        </w:rPr>
        <w:t>Matter of A-M-E- &amp; J-G-U-</w:t>
      </w:r>
      <w:r w:rsidR="001A01EF">
        <w:rPr>
          <w:rFonts w:ascii="Times New Roman" w:hAnsi="Times New Roman" w:cs="Times New Roman"/>
          <w:bCs/>
          <w:sz w:val="24"/>
          <w:szCs w:val="24"/>
        </w:rPr>
        <w:t>, 24 I&amp;N Dec. 69 (BIA 2007)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  <w:t>Date:</w:t>
      </w:r>
      <w:r w:rsidR="001A01EF">
        <w:rPr>
          <w:rFonts w:ascii="Times New Roman" w:hAnsi="Times New Roman" w:cs="Times New Roman"/>
          <w:bCs/>
          <w:sz w:val="24"/>
          <w:szCs w:val="24"/>
        </w:rPr>
        <w:t xml:space="preserve">  January 31, 2007</w:t>
      </w:r>
    </w:p>
    <w:p w14:paraId="20453BBA" w14:textId="41B70DDA" w:rsidR="0007765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Adjudicated by:</w:t>
      </w:r>
      <w:r w:rsidR="001A01EF">
        <w:rPr>
          <w:rFonts w:ascii="Times New Roman" w:hAnsi="Times New Roman" w:cs="Times New Roman"/>
          <w:bCs/>
          <w:sz w:val="24"/>
          <w:szCs w:val="24"/>
        </w:rPr>
        <w:t xml:space="preserve"> Hurwitz, Holmes, Miller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ab/>
        <w:t>Opinion:</w:t>
      </w:r>
      <w:r w:rsidR="001A01EF">
        <w:rPr>
          <w:rFonts w:ascii="Times New Roman" w:hAnsi="Times New Roman" w:cs="Times New Roman"/>
          <w:bCs/>
          <w:sz w:val="24"/>
          <w:szCs w:val="24"/>
        </w:rPr>
        <w:t xml:space="preserve"> Miller</w:t>
      </w:r>
    </w:p>
    <w:p w14:paraId="269B37D1" w14:textId="77777777" w:rsidR="001A01EF" w:rsidRPr="001A01EF" w:rsidRDefault="001A01EF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20453BBB" w14:textId="20970D44" w:rsidR="0007765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Tags:</w:t>
      </w:r>
      <w:r w:rsidR="001A01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A4FBA">
        <w:rPr>
          <w:rFonts w:ascii="Times New Roman" w:hAnsi="Times New Roman" w:cs="Times New Roman"/>
          <w:bCs/>
          <w:sz w:val="24"/>
          <w:szCs w:val="24"/>
        </w:rPr>
        <w:t xml:space="preserve">Asylum, PSG, particularity, </w:t>
      </w:r>
      <w:r w:rsidR="009156AD">
        <w:rPr>
          <w:rFonts w:ascii="Times New Roman" w:hAnsi="Times New Roman" w:cs="Times New Roman"/>
          <w:bCs/>
          <w:sz w:val="24"/>
          <w:szCs w:val="24"/>
        </w:rPr>
        <w:t xml:space="preserve">social visibility, </w:t>
      </w:r>
      <w:r w:rsidR="009866A6">
        <w:rPr>
          <w:rFonts w:ascii="Times New Roman" w:hAnsi="Times New Roman" w:cs="Times New Roman"/>
          <w:bCs/>
          <w:sz w:val="24"/>
          <w:szCs w:val="24"/>
        </w:rPr>
        <w:t>wealth</w:t>
      </w:r>
      <w:r w:rsidR="00C91A66">
        <w:rPr>
          <w:rFonts w:ascii="Times New Roman" w:hAnsi="Times New Roman" w:cs="Times New Roman"/>
          <w:bCs/>
          <w:sz w:val="24"/>
          <w:szCs w:val="24"/>
        </w:rPr>
        <w:t>, imputed political opinion</w:t>
      </w:r>
    </w:p>
    <w:p w14:paraId="16EE4A6A" w14:textId="77777777" w:rsidR="009156AD" w:rsidRPr="001A01EF" w:rsidRDefault="009156AD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20453BBC" w14:textId="54BC1B7E" w:rsidR="00077658" w:rsidRPr="009156AD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Question Presented:</w:t>
      </w:r>
      <w:r w:rsidR="009156AD">
        <w:rPr>
          <w:rFonts w:ascii="Times New Roman" w:hAnsi="Times New Roman" w:cs="Times New Roman"/>
          <w:bCs/>
          <w:sz w:val="24"/>
          <w:szCs w:val="24"/>
        </w:rPr>
        <w:t xml:space="preserve"> Does the group </w:t>
      </w:r>
      <w:r w:rsidR="008765E1">
        <w:rPr>
          <w:rFonts w:ascii="Times New Roman" w:hAnsi="Times New Roman" w:cs="Times New Roman"/>
          <w:bCs/>
          <w:sz w:val="24"/>
          <w:szCs w:val="24"/>
        </w:rPr>
        <w:t xml:space="preserve">“affluent Guatemalans” </w:t>
      </w:r>
      <w:r w:rsidR="004D4F03">
        <w:rPr>
          <w:rFonts w:ascii="Times New Roman" w:hAnsi="Times New Roman" w:cs="Times New Roman"/>
          <w:bCs/>
          <w:sz w:val="24"/>
          <w:szCs w:val="24"/>
        </w:rPr>
        <w:t>meet the standards for a PSG?</w:t>
      </w:r>
      <w:r w:rsidR="00C91A66">
        <w:rPr>
          <w:rFonts w:ascii="Times New Roman" w:hAnsi="Times New Roman" w:cs="Times New Roman"/>
          <w:bCs/>
          <w:sz w:val="24"/>
          <w:szCs w:val="24"/>
        </w:rPr>
        <w:t xml:space="preserve"> [on remand from 2nd Circuit]</w:t>
      </w:r>
    </w:p>
    <w:p w14:paraId="20453BBD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BE" w14:textId="7193952F" w:rsidR="00077658" w:rsidRPr="00C22674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Holdings:</w:t>
      </w:r>
      <w:r w:rsidR="00C22674">
        <w:rPr>
          <w:rFonts w:ascii="Times New Roman" w:hAnsi="Times New Roman" w:cs="Times New Roman"/>
          <w:bCs/>
          <w:sz w:val="24"/>
          <w:szCs w:val="24"/>
        </w:rPr>
        <w:t xml:space="preserve"> Not a PSG</w:t>
      </w:r>
      <w:r w:rsidR="004D3AC2">
        <w:rPr>
          <w:rFonts w:ascii="Times New Roman" w:hAnsi="Times New Roman" w:cs="Times New Roman"/>
          <w:bCs/>
          <w:sz w:val="24"/>
          <w:szCs w:val="24"/>
        </w:rPr>
        <w:t>.</w:t>
      </w:r>
    </w:p>
    <w:p w14:paraId="20453BBF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0" w14:textId="5DBC9A45" w:rsidR="00077658" w:rsidRPr="004D3AC2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Rationale:</w:t>
      </w:r>
      <w:r w:rsidR="004D3AC2">
        <w:rPr>
          <w:rFonts w:ascii="Times New Roman" w:hAnsi="Times New Roman" w:cs="Times New Roman"/>
          <w:bCs/>
          <w:sz w:val="24"/>
          <w:szCs w:val="24"/>
        </w:rPr>
        <w:t xml:space="preserve"> Shared characteristic was not immutable; group was not readily identifiable; too broadly defined.</w:t>
      </w:r>
      <w:r w:rsidR="004D3AC2">
        <w:rPr>
          <w:rFonts w:ascii="Times New Roman" w:hAnsi="Times New Roman" w:cs="Times New Roman"/>
          <w:bCs/>
          <w:sz w:val="24"/>
          <w:szCs w:val="24"/>
        </w:rPr>
        <w:tab/>
        <w:t>71</w:t>
      </w:r>
    </w:p>
    <w:p w14:paraId="20453BC1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2" w14:textId="39E2A6B8" w:rsidR="00077658" w:rsidRPr="00186591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Facts:</w:t>
      </w:r>
      <w:r w:rsidR="00186591">
        <w:rPr>
          <w:rFonts w:ascii="Times New Roman" w:hAnsi="Times New Roman" w:cs="Times New Roman"/>
          <w:bCs/>
          <w:sz w:val="24"/>
          <w:szCs w:val="24"/>
        </w:rPr>
        <w:t xml:space="preserve"> (69-71) Married couple from Guatemala</w:t>
      </w:r>
      <w:r w:rsidR="00A60923">
        <w:rPr>
          <w:rFonts w:ascii="Times New Roman" w:hAnsi="Times New Roman" w:cs="Times New Roman"/>
          <w:bCs/>
          <w:sz w:val="24"/>
          <w:szCs w:val="24"/>
        </w:rPr>
        <w:t xml:space="preserve"> entered U.S. using fraudulent documents in 2001. </w:t>
      </w:r>
      <w:r w:rsidR="0074135B">
        <w:rPr>
          <w:rFonts w:ascii="Times New Roman" w:hAnsi="Times New Roman" w:cs="Times New Roman"/>
          <w:bCs/>
          <w:sz w:val="24"/>
          <w:szCs w:val="24"/>
        </w:rPr>
        <w:t xml:space="preserve">Denied fear of return at initial POE interview. </w:t>
      </w:r>
      <w:r w:rsidR="00B4276C">
        <w:rPr>
          <w:rFonts w:ascii="Times New Roman" w:hAnsi="Times New Roman" w:cs="Times New Roman"/>
          <w:bCs/>
          <w:sz w:val="24"/>
          <w:szCs w:val="24"/>
        </w:rPr>
        <w:t>In removal proceedings, they requested asylum</w:t>
      </w:r>
      <w:r w:rsidR="008C048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8C0481">
        <w:rPr>
          <w:rFonts w:ascii="Times New Roman" w:hAnsi="Times New Roman" w:cs="Times New Roman"/>
          <w:bCs/>
          <w:sz w:val="24"/>
          <w:szCs w:val="24"/>
        </w:rPr>
        <w:t>on the basis of</w:t>
      </w:r>
      <w:proofErr w:type="gramEnd"/>
      <w:r w:rsidR="008C0481">
        <w:rPr>
          <w:rFonts w:ascii="Times New Roman" w:hAnsi="Times New Roman" w:cs="Times New Roman"/>
          <w:bCs/>
          <w:sz w:val="24"/>
          <w:szCs w:val="24"/>
        </w:rPr>
        <w:t xml:space="preserve"> a PSG of affluent Guatemalans.</w:t>
      </w:r>
    </w:p>
    <w:p w14:paraId="20453BC3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4" w14:textId="412C0E2B" w:rsidR="00077658" w:rsidRPr="008A6EA3" w:rsidRDefault="00936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Procedural History</w:t>
      </w:r>
      <w:r w:rsidR="00077658" w:rsidRPr="00936658">
        <w:rPr>
          <w:rFonts w:ascii="Times New Roman" w:hAnsi="Times New Roman" w:cs="Times New Roman"/>
          <w:b/>
          <w:sz w:val="24"/>
          <w:szCs w:val="24"/>
        </w:rPr>
        <w:t>:</w:t>
      </w:r>
      <w:r w:rsidR="008A6EA3">
        <w:rPr>
          <w:rFonts w:ascii="Times New Roman" w:hAnsi="Times New Roman" w:cs="Times New Roman"/>
          <w:bCs/>
          <w:sz w:val="24"/>
          <w:szCs w:val="24"/>
        </w:rPr>
        <w:t xml:space="preserve"> IJ </w:t>
      </w:r>
      <w:r w:rsidR="008A6EA3" w:rsidRPr="008A6EA3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 w:rsidR="008A6EA3">
        <w:rPr>
          <w:rFonts w:ascii="Times New Roman" w:hAnsi="Times New Roman" w:cs="Times New Roman"/>
          <w:bCs/>
          <w:sz w:val="24"/>
          <w:szCs w:val="24"/>
        </w:rPr>
        <w:t xml:space="preserve"> BIA </w:t>
      </w:r>
      <w:r w:rsidR="008A6EA3" w:rsidRPr="008A6EA3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 w:rsidR="008A6EA3">
        <w:rPr>
          <w:rFonts w:ascii="Times New Roman" w:hAnsi="Times New Roman" w:cs="Times New Roman"/>
          <w:bCs/>
          <w:sz w:val="24"/>
          <w:szCs w:val="24"/>
        </w:rPr>
        <w:t xml:space="preserve"> 2nd Circuit </w:t>
      </w:r>
      <w:r w:rsidR="008A6EA3" w:rsidRPr="008A6EA3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 w:rsidR="008A6EA3">
        <w:rPr>
          <w:rFonts w:ascii="Times New Roman" w:hAnsi="Times New Roman" w:cs="Times New Roman"/>
          <w:bCs/>
          <w:sz w:val="24"/>
          <w:szCs w:val="24"/>
        </w:rPr>
        <w:t xml:space="preserve"> BIA</w:t>
      </w:r>
    </w:p>
    <w:p w14:paraId="20453BC5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6" w14:textId="3BDC8184" w:rsidR="00077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Appeals to Statute &amp; Precedent:</w:t>
      </w:r>
    </w:p>
    <w:p w14:paraId="156178A7" w14:textId="29CB10D3" w:rsidR="005455F4" w:rsidRPr="00D66A2A" w:rsidRDefault="005455F4" w:rsidP="005455F4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Matter of S-V-</w:t>
      </w:r>
      <w:r>
        <w:rPr>
          <w:rFonts w:ascii="Times New Roman" w:hAnsi="Times New Roman" w:cs="Times New Roman"/>
          <w:b/>
          <w:sz w:val="24"/>
          <w:szCs w:val="24"/>
        </w:rPr>
        <w:t xml:space="preserve">, 22 I&amp;N Dec. </w:t>
      </w:r>
      <w:r w:rsidR="00CD66E7">
        <w:rPr>
          <w:rFonts w:ascii="Times New Roman" w:hAnsi="Times New Roman" w:cs="Times New Roman"/>
          <w:b/>
          <w:sz w:val="24"/>
          <w:szCs w:val="24"/>
        </w:rPr>
        <w:t>1306 (BIA 2000)</w:t>
      </w:r>
      <w:r w:rsidR="007C6EA3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7C6EA3">
        <w:rPr>
          <w:rFonts w:ascii="Times New Roman" w:hAnsi="Times New Roman" w:cs="Times New Roman"/>
          <w:b/>
          <w:i/>
          <w:iCs/>
          <w:sz w:val="24"/>
          <w:szCs w:val="24"/>
        </w:rPr>
        <w:t>overruled on other grounds by Zheng v. Ashcroft</w:t>
      </w:r>
      <w:r w:rsidR="007C6EA3">
        <w:rPr>
          <w:rFonts w:ascii="Times New Roman" w:hAnsi="Times New Roman" w:cs="Times New Roman"/>
          <w:b/>
          <w:sz w:val="24"/>
          <w:szCs w:val="24"/>
        </w:rPr>
        <w:t>, 332 F.3d 1186 (9th Cir. 2003)</w:t>
      </w:r>
      <w:r w:rsidR="00CD66E7">
        <w:rPr>
          <w:rFonts w:ascii="Times New Roman" w:hAnsi="Times New Roman" w:cs="Times New Roman"/>
          <w:b/>
          <w:sz w:val="24"/>
          <w:szCs w:val="24"/>
        </w:rPr>
        <w:t>:</w:t>
      </w:r>
      <w:r w:rsidR="00CD66E7">
        <w:rPr>
          <w:rFonts w:ascii="Times New Roman" w:hAnsi="Times New Roman" w:cs="Times New Roman"/>
          <w:bCs/>
          <w:sz w:val="24"/>
          <w:szCs w:val="24"/>
        </w:rPr>
        <w:t xml:space="preserve"> actions motivated by perceived wealth insufficient, without more, to support a finding of persecution based on membership in a particular social group</w:t>
      </w:r>
      <w:r w:rsidR="007C6EA3">
        <w:rPr>
          <w:rFonts w:ascii="Times New Roman" w:hAnsi="Times New Roman" w:cs="Times New Roman"/>
          <w:bCs/>
          <w:sz w:val="24"/>
          <w:szCs w:val="24"/>
        </w:rPr>
        <w:t>.</w:t>
      </w:r>
      <w:r w:rsidR="007C6EA3">
        <w:rPr>
          <w:rFonts w:ascii="Times New Roman" w:hAnsi="Times New Roman" w:cs="Times New Roman"/>
          <w:bCs/>
          <w:sz w:val="24"/>
          <w:szCs w:val="24"/>
        </w:rPr>
        <w:tab/>
        <w:t>72</w:t>
      </w:r>
    </w:p>
    <w:p w14:paraId="6E5129FE" w14:textId="293E9676" w:rsidR="00D66A2A" w:rsidRPr="00764BFB" w:rsidRDefault="00D66A2A" w:rsidP="005455F4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Matter of Acosta</w:t>
      </w:r>
      <w:r w:rsidR="00EC5F26">
        <w:rPr>
          <w:rFonts w:ascii="Times New Roman" w:hAnsi="Times New Roman" w:cs="Times New Roman"/>
          <w:b/>
          <w:sz w:val="24"/>
          <w:szCs w:val="24"/>
        </w:rPr>
        <w:t>, 19 I&amp;N Dec. 211 (BIA 1985):</w:t>
      </w:r>
      <w:r w:rsidR="00EC5F26">
        <w:rPr>
          <w:rFonts w:ascii="Times New Roman" w:hAnsi="Times New Roman" w:cs="Times New Roman"/>
          <w:bCs/>
          <w:sz w:val="24"/>
          <w:szCs w:val="24"/>
        </w:rPr>
        <w:t xml:space="preserve"> immutability</w:t>
      </w:r>
    </w:p>
    <w:p w14:paraId="611F080E" w14:textId="60BFA882" w:rsidR="00764BFB" w:rsidRPr="000B4E52" w:rsidRDefault="00764BFB" w:rsidP="005455F4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Matter of C-A-</w:t>
      </w:r>
      <w:r>
        <w:rPr>
          <w:rFonts w:ascii="Times New Roman" w:hAnsi="Times New Roman" w:cs="Times New Roman"/>
          <w:b/>
          <w:sz w:val="24"/>
          <w:szCs w:val="24"/>
        </w:rPr>
        <w:t>, 23 I&amp;N Dec. 951 (BIA 2006):</w:t>
      </w:r>
      <w:r>
        <w:rPr>
          <w:rFonts w:ascii="Times New Roman" w:hAnsi="Times New Roman" w:cs="Times New Roman"/>
          <w:bCs/>
          <w:sz w:val="24"/>
          <w:szCs w:val="24"/>
        </w:rPr>
        <w:t xml:space="preserve"> social visibility (pre-W-G-R-/M-E-V-G-)</w:t>
      </w:r>
    </w:p>
    <w:p w14:paraId="33B06B14" w14:textId="3F7121E7" w:rsidR="000B4E52" w:rsidRPr="005455F4" w:rsidRDefault="000B4E52" w:rsidP="005455F4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INS v. Elias Zacarias</w:t>
      </w:r>
      <w:r>
        <w:rPr>
          <w:rFonts w:ascii="Times New Roman" w:hAnsi="Times New Roman" w:cs="Times New Roman"/>
          <w:b/>
          <w:sz w:val="24"/>
          <w:szCs w:val="24"/>
        </w:rPr>
        <w:t>, 502 U.S. 478 (1992):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866A6">
        <w:rPr>
          <w:rFonts w:ascii="Times New Roman" w:hAnsi="Times New Roman" w:cs="Times New Roman"/>
          <w:bCs/>
          <w:sz w:val="24"/>
          <w:szCs w:val="24"/>
        </w:rPr>
        <w:t xml:space="preserve">no evidence that </w:t>
      </w:r>
      <w:r>
        <w:rPr>
          <w:rFonts w:ascii="Times New Roman" w:hAnsi="Times New Roman" w:cs="Times New Roman"/>
          <w:bCs/>
          <w:sz w:val="24"/>
          <w:szCs w:val="24"/>
        </w:rPr>
        <w:t xml:space="preserve">guerrilla recruitment attempts </w:t>
      </w:r>
      <w:r w:rsidR="009866A6">
        <w:rPr>
          <w:rFonts w:ascii="Times New Roman" w:hAnsi="Times New Roman" w:cs="Times New Roman"/>
          <w:bCs/>
          <w:sz w:val="24"/>
          <w:szCs w:val="24"/>
        </w:rPr>
        <w:t xml:space="preserve">were based on imputed political </w:t>
      </w:r>
      <w:proofErr w:type="gramStart"/>
      <w:r w:rsidR="009866A6">
        <w:rPr>
          <w:rFonts w:ascii="Times New Roman" w:hAnsi="Times New Roman" w:cs="Times New Roman"/>
          <w:bCs/>
          <w:sz w:val="24"/>
          <w:szCs w:val="24"/>
        </w:rPr>
        <w:t>opinion</w:t>
      </w:r>
      <w:proofErr w:type="gramEnd"/>
    </w:p>
    <w:p w14:paraId="20453BC9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A" w14:textId="5FCAC41D" w:rsidR="00077658" w:rsidRDefault="00936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</w:t>
      </w:r>
      <w:r w:rsidR="00077658" w:rsidRPr="00936658">
        <w:rPr>
          <w:rFonts w:ascii="Times New Roman" w:hAnsi="Times New Roman" w:cs="Times New Roman"/>
          <w:b/>
          <w:sz w:val="24"/>
          <w:szCs w:val="24"/>
        </w:rPr>
        <w:t>:</w:t>
      </w:r>
    </w:p>
    <w:p w14:paraId="00D283FA" w14:textId="2D0964D7" w:rsidR="00351117" w:rsidRDefault="00351117" w:rsidP="0035111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we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find that the IJ correctly applied the </w:t>
      </w:r>
      <w:r w:rsidR="00EA5EA7">
        <w:rPr>
          <w:rFonts w:ascii="Times New Roman" w:hAnsi="Times New Roman" w:cs="Times New Roman"/>
          <w:bCs/>
          <w:i/>
          <w:iCs/>
          <w:sz w:val="24"/>
          <w:szCs w:val="24"/>
        </w:rPr>
        <w:t>Matter of Acosta</w:t>
      </w:r>
      <w:r w:rsidR="00EA5EA7">
        <w:rPr>
          <w:rFonts w:ascii="Times New Roman" w:hAnsi="Times New Roman" w:cs="Times New Roman"/>
          <w:bCs/>
          <w:sz w:val="24"/>
          <w:szCs w:val="24"/>
        </w:rPr>
        <w:t xml:space="preserve"> framework . . . in determining that the proposed group of ‘wealthy’ Guatemalans is not so readily ‘identifiable’ or sufficiently defined as to meet the requirements of a </w:t>
      </w:r>
      <w:r w:rsidR="00EA5EA7">
        <w:rPr>
          <w:rFonts w:ascii="Times New Roman" w:hAnsi="Times New Roman" w:cs="Times New Roman"/>
          <w:bCs/>
          <w:i/>
          <w:iCs/>
          <w:sz w:val="24"/>
          <w:szCs w:val="24"/>
        </w:rPr>
        <w:t>particular</w:t>
      </w:r>
      <w:r w:rsidR="00EA5EA7">
        <w:rPr>
          <w:rFonts w:ascii="Times New Roman" w:hAnsi="Times New Roman" w:cs="Times New Roman"/>
          <w:bCs/>
          <w:sz w:val="24"/>
          <w:szCs w:val="24"/>
        </w:rPr>
        <w:t xml:space="preserve"> social group within the meaning of the refugee definition.”</w:t>
      </w:r>
      <w:r w:rsidR="00EA5EA7">
        <w:rPr>
          <w:rFonts w:ascii="Times New Roman" w:hAnsi="Times New Roman" w:cs="Times New Roman"/>
          <w:bCs/>
          <w:sz w:val="24"/>
          <w:szCs w:val="24"/>
        </w:rPr>
        <w:tab/>
        <w:t>74</w:t>
      </w:r>
    </w:p>
    <w:p w14:paraId="5C6E67AB" w14:textId="77777777" w:rsidR="008A6EA3" w:rsidRDefault="008A6EA3" w:rsidP="008A6EA3">
      <w:pPr>
        <w:pStyle w:val="ListParagraph"/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0345FACF" w14:textId="54AF555C" w:rsidR="0065279F" w:rsidRDefault="0065279F" w:rsidP="0035111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“Neither the 1997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Profile</w:t>
      </w:r>
      <w:r>
        <w:rPr>
          <w:rFonts w:ascii="Times New Roman" w:hAnsi="Times New Roman" w:cs="Times New Roman"/>
          <w:bCs/>
          <w:sz w:val="24"/>
          <w:szCs w:val="24"/>
        </w:rPr>
        <w:t xml:space="preserve"> nor the DOS’s 2001 country report on Guatemala suggests that the affluent, however defined, are exposed to more violence or human rights violations than other segments of society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. . . .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Rather, violence and crime in Guatemala appear to be pervasive at all socio-economic levels.”</w:t>
      </w:r>
      <w:r>
        <w:rPr>
          <w:rFonts w:ascii="Times New Roman" w:hAnsi="Times New Roman" w:cs="Times New Roman"/>
          <w:bCs/>
          <w:sz w:val="24"/>
          <w:szCs w:val="24"/>
        </w:rPr>
        <w:tab/>
        <w:t>75</w:t>
      </w:r>
    </w:p>
    <w:p w14:paraId="656A9C03" w14:textId="128BE39D" w:rsidR="005F1FD1" w:rsidRDefault="005F1FD1" w:rsidP="0035111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“The terms ‘wealthy’ and ‘affluent’ standing alone are too amorphous to provide an adequate benchmark for determining group membership.”</w:t>
      </w:r>
      <w:r>
        <w:rPr>
          <w:rFonts w:ascii="Times New Roman" w:hAnsi="Times New Roman" w:cs="Times New Roman"/>
          <w:bCs/>
          <w:sz w:val="24"/>
          <w:szCs w:val="24"/>
        </w:rPr>
        <w:tab/>
        <w:t>76</w:t>
      </w:r>
    </w:p>
    <w:p w14:paraId="1BA7C55F" w14:textId="77777777" w:rsidR="008A6EA3" w:rsidRDefault="008A6EA3" w:rsidP="008A6EA3">
      <w:pPr>
        <w:pStyle w:val="ListParagraph"/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17F36A6A" w14:textId="7D2E0E03" w:rsidR="005F1FD1" w:rsidRPr="00351117" w:rsidRDefault="001742B3" w:rsidP="0035111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“The characteristic of wealth or affluence is simply too subjective, inchoate, and variable to provide the sole basis for membership in a particular social group.”</w:t>
      </w:r>
      <w:r>
        <w:rPr>
          <w:rFonts w:ascii="Times New Roman" w:hAnsi="Times New Roman" w:cs="Times New Roman"/>
          <w:bCs/>
          <w:sz w:val="24"/>
          <w:szCs w:val="24"/>
        </w:rPr>
        <w:tab/>
        <w:t>76</w:t>
      </w:r>
    </w:p>
    <w:p w14:paraId="20453BCB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077658" w:rsidRPr="00936658" w:rsidSect="00CE41B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F7565F" w14:textId="77777777" w:rsidR="00AF3648" w:rsidRDefault="00AF3648" w:rsidP="00077658">
      <w:pPr>
        <w:spacing w:after="0" w:line="240" w:lineRule="auto"/>
      </w:pPr>
      <w:r>
        <w:separator/>
      </w:r>
    </w:p>
  </w:endnote>
  <w:endnote w:type="continuationSeparator" w:id="0">
    <w:p w14:paraId="1CC14D9A" w14:textId="77777777" w:rsidR="00AF3648" w:rsidRDefault="00AF3648" w:rsidP="000776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9B9F22" w14:textId="77777777" w:rsidR="00AF3648" w:rsidRDefault="00AF3648" w:rsidP="00077658">
      <w:pPr>
        <w:spacing w:after="0" w:line="240" w:lineRule="auto"/>
      </w:pPr>
      <w:r>
        <w:separator/>
      </w:r>
    </w:p>
  </w:footnote>
  <w:footnote w:type="continuationSeparator" w:id="0">
    <w:p w14:paraId="4943E215" w14:textId="77777777" w:rsidR="00AF3648" w:rsidRDefault="00AF3648" w:rsidP="000776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453BD1" w14:textId="649AAD8C" w:rsidR="00077658" w:rsidRDefault="00886489">
    <w:pPr>
      <w:pStyle w:val="Header"/>
    </w:pPr>
    <w:r>
      <w:t>BIA</w:t>
    </w:r>
    <w:r w:rsidR="00077658">
      <w:ptab w:relativeTo="margin" w:alignment="center" w:leader="none"/>
    </w:r>
    <w:r w:rsidR="00474AC7">
      <w:t>2007</w:t>
    </w:r>
    <w:r w:rsidR="00077658">
      <w:ptab w:relativeTo="margin" w:alignment="right" w:leader="none"/>
    </w:r>
    <w:r w:rsidR="00474AC7">
      <w:t>Matter of A-M-E- and J-G-U-</w:t>
    </w:r>
  </w:p>
  <w:p w14:paraId="20453BD2" w14:textId="59673AFA" w:rsidR="00077658" w:rsidRDefault="001A01EF" w:rsidP="00077658">
    <w:pPr>
      <w:pStyle w:val="Header"/>
      <w:jc w:val="right"/>
    </w:pPr>
    <w:r>
      <w:t xml:space="preserve">PSG: </w:t>
    </w:r>
    <w:r w:rsidR="009866A6">
      <w:t>WEALTH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2E0E8A"/>
    <w:multiLevelType w:val="hybridMultilevel"/>
    <w:tmpl w:val="4664E654"/>
    <w:lvl w:ilvl="0" w:tplc="08200E7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658"/>
    <w:rsid w:val="00077658"/>
    <w:rsid w:val="000B4E52"/>
    <w:rsid w:val="001742B3"/>
    <w:rsid w:val="00186591"/>
    <w:rsid w:val="001A01EF"/>
    <w:rsid w:val="00351117"/>
    <w:rsid w:val="00414A71"/>
    <w:rsid w:val="00474AC7"/>
    <w:rsid w:val="004D3AC2"/>
    <w:rsid w:val="004D4F03"/>
    <w:rsid w:val="005455F4"/>
    <w:rsid w:val="005600FD"/>
    <w:rsid w:val="005E2E30"/>
    <w:rsid w:val="005F1FD1"/>
    <w:rsid w:val="0065279F"/>
    <w:rsid w:val="00724073"/>
    <w:rsid w:val="0074135B"/>
    <w:rsid w:val="00764BFB"/>
    <w:rsid w:val="007A4FBA"/>
    <w:rsid w:val="007C6EA3"/>
    <w:rsid w:val="008765E1"/>
    <w:rsid w:val="00886489"/>
    <w:rsid w:val="008A6EA3"/>
    <w:rsid w:val="008C0481"/>
    <w:rsid w:val="009156AD"/>
    <w:rsid w:val="00936658"/>
    <w:rsid w:val="009866A6"/>
    <w:rsid w:val="00A60923"/>
    <w:rsid w:val="00AF3648"/>
    <w:rsid w:val="00B13A5E"/>
    <w:rsid w:val="00B4276C"/>
    <w:rsid w:val="00C22674"/>
    <w:rsid w:val="00C91A66"/>
    <w:rsid w:val="00CD66E7"/>
    <w:rsid w:val="00CE41B9"/>
    <w:rsid w:val="00D66A2A"/>
    <w:rsid w:val="00EA5EA7"/>
    <w:rsid w:val="00EC5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53BB7"/>
  <w15:docId w15:val="{00E3B7BA-ABDC-44B9-978B-45B2B9269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1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658"/>
  </w:style>
  <w:style w:type="paragraph" w:styleId="Footer">
    <w:name w:val="footer"/>
    <w:basedOn w:val="Normal"/>
    <w:link w:val="Foot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7658"/>
  </w:style>
  <w:style w:type="paragraph" w:styleId="BalloonText">
    <w:name w:val="Balloon Text"/>
    <w:basedOn w:val="Normal"/>
    <w:link w:val="BalloonTextChar"/>
    <w:uiPriority w:val="99"/>
    <w:semiHidden/>
    <w:unhideWhenUsed/>
    <w:rsid w:val="00077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6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455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345</Words>
  <Characters>1971</Characters>
  <Application>Microsoft Office Word</Application>
  <DocSecurity>0</DocSecurity>
  <Lines>16</Lines>
  <Paragraphs>4</Paragraphs>
  <ScaleCrop>false</ScaleCrop>
  <Company>Hewlett-Packard Company</Company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 Britton</cp:lastModifiedBy>
  <cp:revision>30</cp:revision>
  <dcterms:created xsi:type="dcterms:W3CDTF">2021-07-11T13:15:00Z</dcterms:created>
  <dcterms:modified xsi:type="dcterms:W3CDTF">2021-07-11T13:52:00Z</dcterms:modified>
</cp:coreProperties>
</file>