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4492F77" w:rsidR="00E16E68" w:rsidRPr="00ED7609" w:rsidRDefault="00AC64B6"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Fifth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098116C3" w14:textId="77777777" w:rsidR="00CB0806" w:rsidRDefault="00E16E68" w:rsidP="00AC64B6">
      <w:pPr>
        <w:tabs>
          <w:tab w:val="left" w:pos="720"/>
          <w:tab w:val="left" w:pos="1845"/>
        </w:tabs>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AC64B6">
        <w:rPr>
          <w:rFonts w:ascii="Times New Roman" w:hAnsi="Times New Roman" w:cs="Times New Roman"/>
          <w:bCs/>
          <w:i/>
          <w:iCs/>
          <w:sz w:val="24"/>
          <w:szCs w:val="24"/>
        </w:rPr>
        <w:t>Fuentes-Pena v. Barr</w:t>
      </w:r>
      <w:r w:rsidR="00AC64B6">
        <w:rPr>
          <w:rFonts w:ascii="Times New Roman" w:hAnsi="Times New Roman" w:cs="Times New Roman"/>
          <w:bCs/>
          <w:sz w:val="24"/>
          <w:szCs w:val="24"/>
        </w:rPr>
        <w:t>, 917 F.3d 827 (5th Cir. 2019)</w:t>
      </w:r>
      <w:r w:rsidR="00AC64B6">
        <w:rPr>
          <w:rFonts w:ascii="Times New Roman" w:hAnsi="Times New Roman" w:cs="Times New Roman"/>
          <w:b/>
          <w:sz w:val="24"/>
          <w:szCs w:val="24"/>
        </w:rPr>
        <w:tab/>
      </w:r>
      <w:r w:rsidR="00AC64B6">
        <w:rPr>
          <w:rFonts w:ascii="Times New Roman" w:hAnsi="Times New Roman" w:cs="Times New Roman"/>
          <w:b/>
          <w:sz w:val="24"/>
          <w:szCs w:val="24"/>
        </w:rPr>
        <w:tab/>
      </w:r>
      <w:r w:rsidR="008E5B66" w:rsidRPr="00ED7609">
        <w:rPr>
          <w:rFonts w:ascii="Times New Roman" w:hAnsi="Times New Roman" w:cs="Times New Roman"/>
          <w:b/>
          <w:sz w:val="24"/>
          <w:szCs w:val="24"/>
        </w:rPr>
        <w:t>Date:</w:t>
      </w:r>
      <w:r w:rsidR="00CB0806">
        <w:rPr>
          <w:rFonts w:ascii="Times New Roman" w:hAnsi="Times New Roman" w:cs="Times New Roman"/>
          <w:bCs/>
          <w:sz w:val="24"/>
          <w:szCs w:val="24"/>
        </w:rPr>
        <w:t xml:space="preserve"> March 6, 2019</w:t>
      </w:r>
      <w:r w:rsidR="008E5B66" w:rsidRPr="00ED7609">
        <w:rPr>
          <w:rFonts w:ascii="Times New Roman" w:hAnsi="Times New Roman" w:cs="Times New Roman"/>
          <w:b/>
          <w:sz w:val="24"/>
          <w:szCs w:val="24"/>
        </w:rPr>
        <w:tab/>
      </w:r>
      <w:r w:rsidR="008E5B66" w:rsidRPr="00ED7609">
        <w:rPr>
          <w:rFonts w:ascii="Times New Roman" w:hAnsi="Times New Roman" w:cs="Times New Roman"/>
          <w:b/>
          <w:sz w:val="24"/>
          <w:szCs w:val="24"/>
        </w:rPr>
        <w:tab/>
      </w:r>
    </w:p>
    <w:p w14:paraId="4DC4FCC0" w14:textId="04172770" w:rsidR="00E16E68" w:rsidRPr="00ED7609" w:rsidRDefault="007F7A38" w:rsidP="00CB0806">
      <w:pPr>
        <w:tabs>
          <w:tab w:val="left" w:pos="720"/>
          <w:tab w:val="left" w:pos="1845"/>
        </w:tabs>
        <w:spacing w:after="0"/>
        <w:rPr>
          <w:rFonts w:ascii="Times New Roman" w:hAnsi="Times New Roman" w:cs="Times New Roman"/>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CB0806">
        <w:rPr>
          <w:rFonts w:ascii="Times New Roman" w:hAnsi="Times New Roman" w:cs="Times New Roman"/>
          <w:sz w:val="24"/>
          <w:szCs w:val="24"/>
        </w:rPr>
        <w:t>Jolly, Dennis, Higginson</w:t>
      </w:r>
      <w:r w:rsidR="00CB0806">
        <w:rPr>
          <w:rFonts w:ascii="Times New Roman" w:hAnsi="Times New Roman" w:cs="Times New Roman"/>
          <w:sz w:val="24"/>
          <w:szCs w:val="24"/>
        </w:rPr>
        <w:tab/>
      </w:r>
      <w:r w:rsidR="00CB0806">
        <w:rPr>
          <w:rFonts w:ascii="Times New Roman" w:hAnsi="Times New Roman" w:cs="Times New Roman"/>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CB0806">
        <w:rPr>
          <w:rFonts w:ascii="Times New Roman" w:hAnsi="Times New Roman" w:cs="Times New Roman"/>
          <w:bCs/>
          <w:sz w:val="24"/>
          <w:szCs w:val="24"/>
        </w:rPr>
        <w:t xml:space="preserve"> Jolly</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0916A125"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CB0806">
        <w:rPr>
          <w:rFonts w:ascii="Times New Roman" w:hAnsi="Times New Roman" w:cs="Times New Roman"/>
          <w:sz w:val="24"/>
          <w:szCs w:val="24"/>
        </w:rPr>
        <w:t xml:space="preserve">Immigration, MTR, </w:t>
      </w:r>
      <w:r w:rsidR="000F48BB">
        <w:rPr>
          <w:rFonts w:ascii="Times New Roman" w:hAnsi="Times New Roman" w:cs="Times New Roman"/>
          <w:sz w:val="24"/>
          <w:szCs w:val="24"/>
        </w:rPr>
        <w:t xml:space="preserve">in absentia removal, </w:t>
      </w:r>
      <w:r w:rsidR="00332849">
        <w:rPr>
          <w:rFonts w:ascii="Times New Roman" w:hAnsi="Times New Roman" w:cs="Times New Roman"/>
          <w:sz w:val="24"/>
          <w:szCs w:val="24"/>
        </w:rPr>
        <w:t>notice</w:t>
      </w:r>
      <w:r w:rsidR="001572FA">
        <w:rPr>
          <w:rFonts w:ascii="Times New Roman" w:hAnsi="Times New Roman" w:cs="Times New Roman"/>
          <w:sz w:val="24"/>
          <w:szCs w:val="24"/>
        </w:rPr>
        <w:t>, ICE</w:t>
      </w:r>
      <w:r w:rsidR="002537B2">
        <w:rPr>
          <w:rFonts w:ascii="Times New Roman" w:hAnsi="Times New Roman" w:cs="Times New Roman"/>
          <w:sz w:val="24"/>
          <w:szCs w:val="24"/>
        </w:rPr>
        <w:t>, updated address, INS/DHS/ICE</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1CED00CB"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1572FA">
        <w:rPr>
          <w:rFonts w:ascii="Times New Roman" w:hAnsi="Times New Roman" w:cs="Times New Roman"/>
          <w:sz w:val="24"/>
          <w:szCs w:val="24"/>
        </w:rPr>
        <w:t>Did BIA err in denying motion to reopen removal proceedings</w:t>
      </w:r>
      <w:r w:rsidR="00113CE5">
        <w:rPr>
          <w:rFonts w:ascii="Times New Roman" w:hAnsi="Times New Roman" w:cs="Times New Roman"/>
          <w:sz w:val="24"/>
          <w:szCs w:val="24"/>
        </w:rPr>
        <w:t xml:space="preserve"> due to lack of notice?</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73317FD9"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113CE5">
        <w:rPr>
          <w:rFonts w:ascii="Times New Roman" w:hAnsi="Times New Roman" w:cs="Times New Roman"/>
          <w:sz w:val="24"/>
          <w:szCs w:val="24"/>
        </w:rPr>
        <w:t>Vacated and remanded</w:t>
      </w:r>
      <w:r w:rsidR="00333DD7">
        <w:rPr>
          <w:rFonts w:ascii="Times New Roman" w:hAnsi="Times New Roman" w:cs="Times New Roman"/>
          <w:sz w:val="24"/>
          <w:szCs w:val="24"/>
        </w:rPr>
        <w:t xml:space="preserve">. </w:t>
      </w:r>
      <w:r w:rsidR="000F48BB">
        <w:rPr>
          <w:rFonts w:ascii="Times New Roman" w:hAnsi="Times New Roman" w:cs="Times New Roman"/>
          <w:sz w:val="24"/>
          <w:szCs w:val="24"/>
        </w:rPr>
        <w:t>BIA abused its discretion by denying appeal on MTR.</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53D39CF0" w:rsidR="00A65C5C" w:rsidRPr="00333DD7"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333DD7">
        <w:rPr>
          <w:rFonts w:ascii="Times New Roman" w:hAnsi="Times New Roman" w:cs="Times New Roman"/>
          <w:bCs/>
          <w:sz w:val="24"/>
          <w:szCs w:val="24"/>
        </w:rPr>
        <w:t xml:space="preserve"> Respondent DID update her address with ICE, and still did not get notice of hearing.</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6316784C" w:rsidR="008E5B66" w:rsidRPr="00333DD7"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333DD7">
        <w:rPr>
          <w:rFonts w:ascii="Times New Roman" w:hAnsi="Times New Roman" w:cs="Times New Roman"/>
          <w:bCs/>
          <w:sz w:val="24"/>
          <w:szCs w:val="24"/>
        </w:rPr>
        <w:t xml:space="preserve"> </w:t>
      </w:r>
      <w:r w:rsidR="0032384F">
        <w:rPr>
          <w:rFonts w:ascii="Times New Roman" w:hAnsi="Times New Roman" w:cs="Times New Roman"/>
          <w:bCs/>
          <w:sz w:val="24"/>
          <w:szCs w:val="24"/>
        </w:rPr>
        <w:t xml:space="preserve">(828-29) Citizen of El Salvador entered U.S. </w:t>
      </w:r>
      <w:r w:rsidR="0024083D">
        <w:rPr>
          <w:rFonts w:ascii="Times New Roman" w:hAnsi="Times New Roman" w:cs="Times New Roman"/>
          <w:bCs/>
          <w:sz w:val="24"/>
          <w:szCs w:val="24"/>
        </w:rPr>
        <w:t>and was detained. Personally served with NTA</w:t>
      </w:r>
      <w:r w:rsidR="00C450C4">
        <w:rPr>
          <w:rFonts w:ascii="Times New Roman" w:hAnsi="Times New Roman" w:cs="Times New Roman"/>
          <w:bCs/>
          <w:sz w:val="24"/>
          <w:szCs w:val="24"/>
        </w:rPr>
        <w:t xml:space="preserve"> upon release. She DID provide </w:t>
      </w:r>
      <w:r w:rsidR="002E4849">
        <w:rPr>
          <w:rFonts w:ascii="Times New Roman" w:hAnsi="Times New Roman" w:cs="Times New Roman"/>
          <w:bCs/>
          <w:sz w:val="24"/>
          <w:szCs w:val="24"/>
        </w:rPr>
        <w:t>new address</w:t>
      </w:r>
      <w:r w:rsidR="00D25D73">
        <w:rPr>
          <w:rFonts w:ascii="Times New Roman" w:hAnsi="Times New Roman" w:cs="Times New Roman"/>
          <w:bCs/>
          <w:sz w:val="24"/>
          <w:szCs w:val="24"/>
        </w:rPr>
        <w:t xml:space="preserve"> in TX</w:t>
      </w:r>
      <w:r w:rsidR="002E4849">
        <w:rPr>
          <w:rFonts w:ascii="Times New Roman" w:hAnsi="Times New Roman" w:cs="Times New Roman"/>
          <w:bCs/>
          <w:sz w:val="24"/>
          <w:szCs w:val="24"/>
        </w:rPr>
        <w:t xml:space="preserve"> using E-33 (Court &amp; ICE). Later moved to MA and only updated her address with ICE. </w:t>
      </w:r>
      <w:r w:rsidR="00D25D73">
        <w:rPr>
          <w:rFonts w:ascii="Times New Roman" w:hAnsi="Times New Roman" w:cs="Times New Roman"/>
          <w:bCs/>
          <w:sz w:val="24"/>
          <w:szCs w:val="24"/>
        </w:rPr>
        <w:t xml:space="preserve">Hearing notice mailed to address in TX. </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475A84DB"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76A79BDF" w14:textId="764FD644" w:rsidR="006A11A3" w:rsidRDefault="006A11A3" w:rsidP="006A11A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June 2016:</w:t>
      </w:r>
      <w:r>
        <w:rPr>
          <w:rFonts w:ascii="Times New Roman" w:hAnsi="Times New Roman" w:cs="Times New Roman"/>
          <w:sz w:val="24"/>
          <w:szCs w:val="24"/>
        </w:rPr>
        <w:t xml:space="preserve"> Ordered removed in absentia.</w:t>
      </w:r>
    </w:p>
    <w:p w14:paraId="6FDBDD38" w14:textId="31705ACC" w:rsidR="006A11A3" w:rsidRDefault="00365D7E" w:rsidP="006A11A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Nov.</w:t>
      </w:r>
      <w:r>
        <w:rPr>
          <w:rFonts w:ascii="Times New Roman" w:hAnsi="Times New Roman" w:cs="Times New Roman"/>
          <w:sz w:val="24"/>
          <w:szCs w:val="24"/>
        </w:rPr>
        <w:t xml:space="preserve"> </w:t>
      </w:r>
      <w:r>
        <w:rPr>
          <w:rFonts w:ascii="Times New Roman" w:hAnsi="Times New Roman" w:cs="Times New Roman"/>
          <w:b/>
          <w:bCs/>
          <w:sz w:val="24"/>
          <w:szCs w:val="24"/>
        </w:rPr>
        <w:t>2016:</w:t>
      </w:r>
      <w:r>
        <w:rPr>
          <w:rFonts w:ascii="Times New Roman" w:hAnsi="Times New Roman" w:cs="Times New Roman"/>
          <w:sz w:val="24"/>
          <w:szCs w:val="24"/>
        </w:rPr>
        <w:t xml:space="preserve"> Filed MTR.</w:t>
      </w:r>
      <w:r w:rsidR="00A42DC1">
        <w:rPr>
          <w:rFonts w:ascii="Times New Roman" w:hAnsi="Times New Roman" w:cs="Times New Roman"/>
          <w:sz w:val="24"/>
          <w:szCs w:val="24"/>
        </w:rPr>
        <w:t xml:space="preserve"> Denied by IJ</w:t>
      </w:r>
      <w:r w:rsidR="00F80719">
        <w:rPr>
          <w:rFonts w:ascii="Times New Roman" w:hAnsi="Times New Roman" w:cs="Times New Roman"/>
          <w:sz w:val="24"/>
          <w:szCs w:val="24"/>
        </w:rPr>
        <w:t xml:space="preserve"> because NTA specified the obligation to update Court as well.</w:t>
      </w:r>
    </w:p>
    <w:p w14:paraId="3E5819D4" w14:textId="1DD5C05D" w:rsidR="005404BB" w:rsidRPr="006A11A3" w:rsidRDefault="005404BB" w:rsidP="006A11A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dismissed appeal because NTA was advisement to update both Court &amp; ICE.</w:t>
      </w:r>
    </w:p>
    <w:p w14:paraId="156B1D22" w14:textId="77777777" w:rsidR="009917BC" w:rsidRPr="00ED7609" w:rsidRDefault="009917BC" w:rsidP="008E5B66">
      <w:pPr>
        <w:spacing w:after="0"/>
        <w:rPr>
          <w:rFonts w:ascii="Times New Roman" w:hAnsi="Times New Roman" w:cs="Times New Roman"/>
          <w:b/>
          <w:sz w:val="24"/>
          <w:szCs w:val="24"/>
        </w:rPr>
      </w:pPr>
    </w:p>
    <w:p w14:paraId="4949544D" w14:textId="33AAFD30" w:rsidR="008E5B66" w:rsidRDefault="00365D7E" w:rsidP="008E5B66">
      <w:pPr>
        <w:spacing w:after="0"/>
        <w:rPr>
          <w:rFonts w:ascii="Times New Roman" w:hAnsi="Times New Roman" w:cs="Times New Roman"/>
          <w:b/>
          <w:sz w:val="24"/>
          <w:szCs w:val="24"/>
        </w:rPr>
      </w:pPr>
      <w:r>
        <w:rPr>
          <w:rFonts w:ascii="Times New Roman" w:hAnsi="Times New Roman" w:cs="Times New Roman"/>
          <w:b/>
          <w:sz w:val="24"/>
          <w:szCs w:val="24"/>
        </w:rPr>
        <w:t>Respondent’s</w:t>
      </w:r>
      <w:r w:rsidR="008E5B66" w:rsidRPr="00ED7609">
        <w:rPr>
          <w:rFonts w:ascii="Times New Roman" w:hAnsi="Times New Roman" w:cs="Times New Roman"/>
          <w:b/>
          <w:sz w:val="24"/>
          <w:szCs w:val="24"/>
        </w:rPr>
        <w:t xml:space="preserve"> Arguments:</w:t>
      </w:r>
    </w:p>
    <w:p w14:paraId="41BFFC85" w14:textId="5560F506" w:rsidR="00365D7E" w:rsidRPr="00365D7E" w:rsidRDefault="00765345" w:rsidP="00365D7E">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Respondent met address obligations by updating her info with ICE when she moved to MA.</w:t>
      </w: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77777777" w:rsidR="00552EC4" w:rsidRPr="00ED7609"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2C6DF845" w14:textId="47C0BA77" w:rsidR="00C87419" w:rsidRPr="00643A52" w:rsidRDefault="009140BD" w:rsidP="009140B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U.S.C. </w:t>
      </w:r>
      <w:r w:rsidR="006E101D">
        <w:rPr>
          <w:rFonts w:ascii="Times New Roman" w:hAnsi="Times New Roman" w:cs="Times New Roman"/>
          <w:b/>
          <w:sz w:val="24"/>
          <w:szCs w:val="24"/>
        </w:rPr>
        <w:t>§ 1229(a)(1):</w:t>
      </w:r>
      <w:r w:rsidR="006E101D">
        <w:rPr>
          <w:rFonts w:ascii="Times New Roman" w:hAnsi="Times New Roman" w:cs="Times New Roman"/>
          <w:bCs/>
          <w:sz w:val="24"/>
          <w:szCs w:val="24"/>
        </w:rPr>
        <w:t xml:space="preserve"> service of hearing notice; FN’s obligation to update address.</w:t>
      </w:r>
      <w:r w:rsidR="004950ED">
        <w:rPr>
          <w:rFonts w:ascii="Times New Roman" w:hAnsi="Times New Roman" w:cs="Times New Roman"/>
          <w:bCs/>
          <w:sz w:val="24"/>
          <w:szCs w:val="24"/>
        </w:rPr>
        <w:t xml:space="preserve"> </w:t>
      </w:r>
      <w:r w:rsidR="004950ED" w:rsidRPr="00D03E90">
        <w:rPr>
          <w:rFonts w:ascii="Times New Roman" w:hAnsi="Times New Roman" w:cs="Times New Roman"/>
          <w:bCs/>
          <w:color w:val="C00000"/>
          <w:sz w:val="24"/>
          <w:szCs w:val="24"/>
        </w:rPr>
        <w:t xml:space="preserve">An “alien must provide the A.G. immediately with a written record of any change of the alien’s address.” </w:t>
      </w:r>
      <w:r w:rsidR="00643A52">
        <w:rPr>
          <w:rFonts w:ascii="Times New Roman" w:hAnsi="Times New Roman" w:cs="Times New Roman"/>
          <w:bCs/>
          <w:sz w:val="24"/>
          <w:szCs w:val="24"/>
        </w:rPr>
        <w:t>(F)(ii)</w:t>
      </w:r>
    </w:p>
    <w:p w14:paraId="47BE3468" w14:textId="7A37D2CD" w:rsidR="00643A52" w:rsidRPr="00473FE2" w:rsidRDefault="00643A52" w:rsidP="009140B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U.S.C. § 1229</w:t>
      </w:r>
      <w:r w:rsidR="00BA5B2E">
        <w:rPr>
          <w:rFonts w:ascii="Times New Roman" w:hAnsi="Times New Roman" w:cs="Times New Roman"/>
          <w:b/>
          <w:sz w:val="24"/>
          <w:szCs w:val="24"/>
        </w:rPr>
        <w:t>a(b)(5)(C)(ii):</w:t>
      </w:r>
      <w:r w:rsidR="00BA5B2E">
        <w:rPr>
          <w:rFonts w:ascii="Times New Roman" w:hAnsi="Times New Roman" w:cs="Times New Roman"/>
          <w:bCs/>
          <w:sz w:val="24"/>
          <w:szCs w:val="24"/>
        </w:rPr>
        <w:t xml:space="preserve"> can reopen in absentia removal order at any time if can prove lack of notice.</w:t>
      </w:r>
    </w:p>
    <w:p w14:paraId="4A9F0E83" w14:textId="51B8210F" w:rsidR="00473FE2" w:rsidRPr="00EE03E9" w:rsidRDefault="00473FE2" w:rsidP="009140B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C.F.R. </w:t>
      </w:r>
      <w:r>
        <w:rPr>
          <w:rFonts w:ascii="Times New Roman" w:hAnsi="Times New Roman" w:cs="Times New Roman"/>
          <w:b/>
          <w:sz w:val="24"/>
          <w:szCs w:val="24"/>
        </w:rPr>
        <w:t>§</w:t>
      </w:r>
      <w:r>
        <w:rPr>
          <w:rFonts w:ascii="Times New Roman" w:hAnsi="Times New Roman" w:cs="Times New Roman"/>
          <w:b/>
          <w:sz w:val="24"/>
          <w:szCs w:val="24"/>
        </w:rPr>
        <w:t xml:space="preserve"> </w:t>
      </w:r>
      <w:r w:rsidR="00F377AD">
        <w:rPr>
          <w:rFonts w:ascii="Times New Roman" w:hAnsi="Times New Roman" w:cs="Times New Roman"/>
          <w:b/>
          <w:sz w:val="24"/>
          <w:szCs w:val="24"/>
        </w:rPr>
        <w:t>1003.15(d):</w:t>
      </w:r>
      <w:r w:rsidR="00F377AD">
        <w:rPr>
          <w:rFonts w:ascii="Times New Roman" w:hAnsi="Times New Roman" w:cs="Times New Roman"/>
          <w:bCs/>
          <w:sz w:val="24"/>
          <w:szCs w:val="24"/>
        </w:rPr>
        <w:t xml:space="preserve"> aliens must notify the immigration court of any change of address only AFTER the NTA has been filed by the government with the Court.</w:t>
      </w:r>
    </w:p>
    <w:p w14:paraId="3AB038EF" w14:textId="0A7EDA88" w:rsidR="00EE03E9" w:rsidRPr="009140BD" w:rsidRDefault="00EE03E9" w:rsidP="009140BD">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Gomez-Palacios v. Holder</w:t>
      </w:r>
      <w:r>
        <w:rPr>
          <w:rFonts w:ascii="Times New Roman" w:hAnsi="Times New Roman" w:cs="Times New Roman"/>
          <w:b/>
          <w:sz w:val="24"/>
          <w:szCs w:val="24"/>
        </w:rPr>
        <w:t>, 560 F.3d 354 (5th Cir. 2009):</w:t>
      </w:r>
      <w:r>
        <w:rPr>
          <w:rFonts w:ascii="Times New Roman" w:hAnsi="Times New Roman" w:cs="Times New Roman"/>
          <w:bCs/>
          <w:sz w:val="24"/>
          <w:szCs w:val="24"/>
        </w:rPr>
        <w:t xml:space="preserve"> </w:t>
      </w:r>
      <w:r w:rsidR="00B13F5B">
        <w:rPr>
          <w:rFonts w:ascii="Times New Roman" w:hAnsi="Times New Roman" w:cs="Times New Roman"/>
          <w:bCs/>
          <w:sz w:val="24"/>
          <w:szCs w:val="24"/>
        </w:rPr>
        <w:t>alien’s failure to receive actual notice due to neglect of their obligation to inform court of new address doesn’t count as lack of notice.</w:t>
      </w:r>
    </w:p>
    <w:p w14:paraId="11DA38CD" w14:textId="77777777" w:rsidR="00A65C5C" w:rsidRPr="00ED7609" w:rsidRDefault="00A65C5C" w:rsidP="00C87419">
      <w:pPr>
        <w:spacing w:after="0"/>
        <w:rPr>
          <w:rFonts w:ascii="Times New Roman" w:hAnsi="Times New Roman" w:cs="Times New Roman"/>
          <w:b/>
          <w:sz w:val="24"/>
          <w:szCs w:val="24"/>
        </w:rPr>
      </w:pPr>
    </w:p>
    <w:p w14:paraId="7BC1B9C1" w14:textId="3C4B4167" w:rsidR="009917BC" w:rsidRDefault="009917BC"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 xml:space="preserve">Relevant </w:t>
      </w:r>
      <w:r w:rsidR="00757CDB" w:rsidRPr="00ED7609">
        <w:rPr>
          <w:rFonts w:ascii="Times New Roman" w:hAnsi="Times New Roman" w:cs="Times New Roman"/>
          <w:b/>
          <w:sz w:val="24"/>
          <w:szCs w:val="24"/>
        </w:rPr>
        <w:t xml:space="preserve">U.S. </w:t>
      </w:r>
      <w:r w:rsidRPr="00ED7609">
        <w:rPr>
          <w:rFonts w:ascii="Times New Roman" w:hAnsi="Times New Roman" w:cs="Times New Roman"/>
          <w:b/>
          <w:sz w:val="24"/>
          <w:szCs w:val="24"/>
        </w:rPr>
        <w:t>History:</w:t>
      </w:r>
    </w:p>
    <w:p w14:paraId="2E18F0D3" w14:textId="3DB8F36A" w:rsidR="00D03E90" w:rsidRPr="00AA1F30" w:rsidRDefault="0087417D" w:rsidP="00D03E90">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U.S.C. § 1229</w:t>
      </w:r>
      <w:r>
        <w:rPr>
          <w:rFonts w:ascii="Times New Roman" w:hAnsi="Times New Roman" w:cs="Times New Roman"/>
          <w:bCs/>
          <w:sz w:val="24"/>
          <w:szCs w:val="24"/>
        </w:rPr>
        <w:t xml:space="preserve"> was enacted before DHS was created. </w:t>
      </w:r>
    </w:p>
    <w:p w14:paraId="7B5EF136" w14:textId="788E3947" w:rsidR="00AA1F30" w:rsidRPr="001621E1" w:rsidRDefault="00AA1F30" w:rsidP="00AA1F30">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AA1F30">
        <w:rPr>
          <w:rFonts w:ascii="Times New Roman" w:hAnsi="Times New Roman" w:cs="Times New Roman"/>
          <w:bCs/>
          <w:sz w:val="24"/>
          <w:szCs w:val="24"/>
        </w:rPr>
        <w:t>Prior to that statutory change, removal *831 proceedings were prosecuted by the Immigration and Naturalization Service (INS), which indeed was an agency within the Department of Justice (DOJ). But when the DHS was created, the INS was dissolved and most of its functions were moved out of the DOJ and into the DHS.</w:t>
      </w:r>
      <w:r>
        <w:rPr>
          <w:rFonts w:ascii="Times New Roman" w:hAnsi="Times New Roman" w:cs="Times New Roman"/>
          <w:bCs/>
          <w:sz w:val="24"/>
          <w:szCs w:val="24"/>
        </w:rPr>
        <w:t>”</w:t>
      </w:r>
      <w:r>
        <w:rPr>
          <w:rFonts w:ascii="Times New Roman" w:hAnsi="Times New Roman" w:cs="Times New Roman"/>
          <w:bCs/>
          <w:sz w:val="24"/>
          <w:szCs w:val="24"/>
        </w:rPr>
        <w:tab/>
        <w:t>830-31</w:t>
      </w:r>
    </w:p>
    <w:p w14:paraId="03385D58" w14:textId="7530E84F" w:rsidR="001621E1" w:rsidRPr="002962BF" w:rsidRDefault="001621E1" w:rsidP="00AA1F30">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lastRenderedPageBreak/>
        <w:t>“</w:t>
      </w:r>
      <w:r w:rsidRPr="001621E1">
        <w:rPr>
          <w:rFonts w:ascii="Times New Roman" w:hAnsi="Times New Roman" w:cs="Times New Roman"/>
          <w:bCs/>
          <w:sz w:val="24"/>
          <w:szCs w:val="24"/>
        </w:rPr>
        <w:t>The former INS was responsible for providing aliens with the statutorily required NTA and for filing the NTA, containing the alien’s current address, with the immigration court. Both functions are now performed by ICE.</w:t>
      </w:r>
      <w:r>
        <w:rPr>
          <w:rFonts w:ascii="Times New Roman" w:hAnsi="Times New Roman" w:cs="Times New Roman"/>
          <w:bCs/>
          <w:sz w:val="24"/>
          <w:szCs w:val="24"/>
        </w:rPr>
        <w:t>”</w:t>
      </w:r>
      <w:r>
        <w:rPr>
          <w:rFonts w:ascii="Times New Roman" w:hAnsi="Times New Roman" w:cs="Times New Roman"/>
          <w:bCs/>
          <w:sz w:val="24"/>
          <w:szCs w:val="24"/>
        </w:rPr>
        <w:tab/>
        <w:t>831</w:t>
      </w:r>
    </w:p>
    <w:p w14:paraId="704D044D" w14:textId="14504826" w:rsidR="002962BF" w:rsidRPr="00D03E90" w:rsidRDefault="002962BF" w:rsidP="00AA1F30">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w:t>
      </w:r>
      <w:r w:rsidRPr="002962BF">
        <w:rPr>
          <w:rFonts w:ascii="Times New Roman" w:hAnsi="Times New Roman" w:cs="Times New Roman"/>
          <w:bCs/>
          <w:sz w:val="24"/>
          <w:szCs w:val="24"/>
        </w:rPr>
        <w:t>Because ICE is now responsible for providing the alien’s address to the immigration court when it files the NTA, we read 8 U.S.C. § 1229, through the lens of 6 U.S.C. § 557, to require the alien to provide a change of address to ICE at least until the NTA has been filed with the immigration court.3 As such, by notifying ICE of her change of address before it filed the NTA with the immigration court, Fuentes-Pena satisfied her statutory obligation to provide notice of her change of address, and her failure to attend her removal hearing is excused.</w:t>
      </w:r>
      <w:r>
        <w:rPr>
          <w:rFonts w:ascii="Times New Roman" w:hAnsi="Times New Roman" w:cs="Times New Roman"/>
          <w:bCs/>
          <w:sz w:val="24"/>
          <w:szCs w:val="24"/>
        </w:rPr>
        <w:t>”</w:t>
      </w:r>
      <w:r>
        <w:rPr>
          <w:rFonts w:ascii="Times New Roman" w:hAnsi="Times New Roman" w:cs="Times New Roman"/>
          <w:bCs/>
          <w:sz w:val="24"/>
          <w:szCs w:val="24"/>
        </w:rPr>
        <w:tab/>
      </w:r>
      <w:r w:rsidR="002537B2">
        <w:rPr>
          <w:rFonts w:ascii="Times New Roman" w:hAnsi="Times New Roman" w:cs="Times New Roman"/>
          <w:bCs/>
          <w:sz w:val="24"/>
          <w:szCs w:val="24"/>
        </w:rPr>
        <w:t>831</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11EF4454" w:rsidR="00E16E68" w:rsidRPr="00ED7609" w:rsidRDefault="00434206"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46D00B83" w14:textId="3A73A28D" w:rsidR="00C87419" w:rsidRPr="00665D3F" w:rsidRDefault="00665D3F" w:rsidP="00665D3F">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Distinguishable from </w:t>
      </w:r>
      <w:r>
        <w:rPr>
          <w:rFonts w:ascii="Times New Roman" w:hAnsi="Times New Roman" w:cs="Times New Roman"/>
          <w:bCs/>
          <w:i/>
          <w:iCs/>
          <w:sz w:val="24"/>
          <w:szCs w:val="24"/>
        </w:rPr>
        <w:t>Gomez-Palacios</w:t>
      </w:r>
      <w:r w:rsidR="00242470">
        <w:rPr>
          <w:rFonts w:ascii="Times New Roman" w:hAnsi="Times New Roman" w:cs="Times New Roman"/>
          <w:bCs/>
          <w:sz w:val="24"/>
          <w:szCs w:val="24"/>
        </w:rPr>
        <w:t xml:space="preserve"> </w:t>
      </w:r>
      <w:r w:rsidR="00B42F05">
        <w:rPr>
          <w:rFonts w:ascii="Times New Roman" w:hAnsi="Times New Roman" w:cs="Times New Roman"/>
          <w:bCs/>
          <w:sz w:val="24"/>
          <w:szCs w:val="24"/>
        </w:rPr>
        <w:t xml:space="preserve">because in this case, FN updated her address with ICE </w:t>
      </w:r>
      <w:r w:rsidR="00B42F05">
        <w:rPr>
          <w:rFonts w:ascii="Times New Roman" w:hAnsi="Times New Roman" w:cs="Times New Roman"/>
          <w:bCs/>
          <w:i/>
          <w:iCs/>
          <w:sz w:val="24"/>
          <w:szCs w:val="24"/>
        </w:rPr>
        <w:t>before</w:t>
      </w:r>
      <w:r w:rsidR="00B42F05">
        <w:rPr>
          <w:rFonts w:ascii="Times New Roman" w:hAnsi="Times New Roman" w:cs="Times New Roman"/>
          <w:bCs/>
          <w:sz w:val="24"/>
          <w:szCs w:val="24"/>
        </w:rPr>
        <w:t xml:space="preserve"> ICE filed the NTA with the immigration court.</w:t>
      </w:r>
    </w:p>
    <w:p w14:paraId="365676AF" w14:textId="77777777" w:rsidR="00552EC4" w:rsidRPr="00ED7609" w:rsidRDefault="00552EC4" w:rsidP="00C87419">
      <w:pPr>
        <w:spacing w:after="0"/>
        <w:rPr>
          <w:rFonts w:ascii="Times New Roman" w:hAnsi="Times New Roman" w:cs="Times New Roman"/>
          <w:sz w:val="24"/>
          <w:szCs w:val="24"/>
        </w:rPr>
      </w:pPr>
    </w:p>
    <w:p w14:paraId="2E13E61A" w14:textId="77777777" w:rsidR="00552EC4" w:rsidRPr="00ED7609" w:rsidRDefault="00552EC4" w:rsidP="00C87419">
      <w:pPr>
        <w:spacing w:after="0"/>
        <w:rPr>
          <w:rFonts w:ascii="Times New Roman" w:hAnsi="Times New Roman" w:cs="Times New Roman"/>
          <w:b/>
          <w:sz w:val="24"/>
          <w:szCs w:val="24"/>
        </w:rPr>
      </w:pPr>
    </w:p>
    <w:sectPr w:rsidR="00552EC4"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99825" w14:textId="77777777" w:rsidR="00C4112D" w:rsidRDefault="00C4112D" w:rsidP="00E16E68">
      <w:pPr>
        <w:spacing w:after="0" w:line="240" w:lineRule="auto"/>
      </w:pPr>
      <w:r>
        <w:separator/>
      </w:r>
    </w:p>
  </w:endnote>
  <w:endnote w:type="continuationSeparator" w:id="0">
    <w:p w14:paraId="67953C50" w14:textId="77777777" w:rsidR="00C4112D" w:rsidRDefault="00C4112D" w:rsidP="00E16E68">
      <w:pPr>
        <w:spacing w:after="0" w:line="240" w:lineRule="auto"/>
      </w:pPr>
      <w:r>
        <w:continuationSeparator/>
      </w:r>
    </w:p>
  </w:endnote>
  <w:endnote w:type="continuationNotice" w:id="1">
    <w:p w14:paraId="69545F5F" w14:textId="77777777" w:rsidR="00C4112D" w:rsidRDefault="00C411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CED9E" w14:textId="77777777" w:rsidR="00C4112D" w:rsidRDefault="00C4112D" w:rsidP="00E16E68">
      <w:pPr>
        <w:spacing w:after="0" w:line="240" w:lineRule="auto"/>
      </w:pPr>
      <w:r>
        <w:separator/>
      </w:r>
    </w:p>
  </w:footnote>
  <w:footnote w:type="continuationSeparator" w:id="0">
    <w:p w14:paraId="3D95C2C8" w14:textId="77777777" w:rsidR="00C4112D" w:rsidRDefault="00C4112D" w:rsidP="00E16E68">
      <w:pPr>
        <w:spacing w:after="0" w:line="240" w:lineRule="auto"/>
      </w:pPr>
      <w:r>
        <w:continuationSeparator/>
      </w:r>
    </w:p>
  </w:footnote>
  <w:footnote w:type="continuationNotice" w:id="1">
    <w:p w14:paraId="7D1C9C24" w14:textId="77777777" w:rsidR="00C4112D" w:rsidRDefault="00C411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11DEB7D8" w:rsidR="00E16E68" w:rsidRDefault="00E034D7" w:rsidP="00757CDB">
    <w:pPr>
      <w:pStyle w:val="Header"/>
      <w:jc w:val="right"/>
    </w:pPr>
    <w:r>
      <w:t xml:space="preserve">Fifth </w:t>
    </w:r>
    <w:r w:rsidR="006C420B">
      <w:t>Circuit</w:t>
    </w:r>
    <w:r w:rsidR="0016476D">
      <w:t xml:space="preserve"> Court</w:t>
    </w:r>
    <w:r w:rsidR="00E16E68">
      <w:tab/>
    </w:r>
    <w:r>
      <w:t>2019</w:t>
    </w:r>
    <w:r w:rsidR="00E16E68">
      <w:tab/>
    </w:r>
    <w:r>
      <w:t>Fuentes-Pena v. Barr</w:t>
    </w:r>
  </w:p>
  <w:p w14:paraId="4CE88CBF" w14:textId="5E858555" w:rsidR="00552EC4" w:rsidRDefault="00552EC4" w:rsidP="00552EC4">
    <w:pPr>
      <w:pStyle w:val="Header"/>
      <w:jc w:val="right"/>
    </w:pPr>
    <w:r>
      <w:tab/>
    </w:r>
    <w:r>
      <w:tab/>
    </w:r>
    <w:r w:rsidR="00E034D7">
      <w:t>MTR IN ABSENTIA</w:t>
    </w:r>
    <w:r w:rsidR="00332849">
      <w:t>: NOTICE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CD4578"/>
    <w:multiLevelType w:val="hybridMultilevel"/>
    <w:tmpl w:val="1CB48598"/>
    <w:lvl w:ilvl="0" w:tplc="9F620DFE">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F48BB"/>
    <w:rsid w:val="00113CE5"/>
    <w:rsid w:val="00144D3B"/>
    <w:rsid w:val="001572FA"/>
    <w:rsid w:val="001621E1"/>
    <w:rsid w:val="0016476D"/>
    <w:rsid w:val="001B0867"/>
    <w:rsid w:val="0024083D"/>
    <w:rsid w:val="00242470"/>
    <w:rsid w:val="002537B2"/>
    <w:rsid w:val="0026775C"/>
    <w:rsid w:val="002962BF"/>
    <w:rsid w:val="002E4849"/>
    <w:rsid w:val="0032384F"/>
    <w:rsid w:val="00332849"/>
    <w:rsid w:val="00333DD7"/>
    <w:rsid w:val="00365D7E"/>
    <w:rsid w:val="00410364"/>
    <w:rsid w:val="00434206"/>
    <w:rsid w:val="00444E7F"/>
    <w:rsid w:val="00457D27"/>
    <w:rsid w:val="00473FE2"/>
    <w:rsid w:val="004950ED"/>
    <w:rsid w:val="005046B1"/>
    <w:rsid w:val="005404BB"/>
    <w:rsid w:val="00552EC4"/>
    <w:rsid w:val="00553D7D"/>
    <w:rsid w:val="00643A52"/>
    <w:rsid w:val="00665D3F"/>
    <w:rsid w:val="006A11A3"/>
    <w:rsid w:val="006C420B"/>
    <w:rsid w:val="006E101D"/>
    <w:rsid w:val="00757CDB"/>
    <w:rsid w:val="00765345"/>
    <w:rsid w:val="007B49D0"/>
    <w:rsid w:val="007D1AC2"/>
    <w:rsid w:val="007F7A38"/>
    <w:rsid w:val="00825131"/>
    <w:rsid w:val="0087417D"/>
    <w:rsid w:val="008A41F9"/>
    <w:rsid w:val="008C70B7"/>
    <w:rsid w:val="008E5B66"/>
    <w:rsid w:val="009140BD"/>
    <w:rsid w:val="009917BC"/>
    <w:rsid w:val="00A42DC1"/>
    <w:rsid w:val="00A65C5C"/>
    <w:rsid w:val="00A71E2C"/>
    <w:rsid w:val="00AA1F30"/>
    <w:rsid w:val="00AC230B"/>
    <w:rsid w:val="00AC64B6"/>
    <w:rsid w:val="00AE4006"/>
    <w:rsid w:val="00B13F5B"/>
    <w:rsid w:val="00B330E3"/>
    <w:rsid w:val="00B42F05"/>
    <w:rsid w:val="00B564E2"/>
    <w:rsid w:val="00B667F9"/>
    <w:rsid w:val="00B778D1"/>
    <w:rsid w:val="00B9776E"/>
    <w:rsid w:val="00BA5B2E"/>
    <w:rsid w:val="00C4112D"/>
    <w:rsid w:val="00C450C4"/>
    <w:rsid w:val="00C47189"/>
    <w:rsid w:val="00C87419"/>
    <w:rsid w:val="00CB0806"/>
    <w:rsid w:val="00CC3AFE"/>
    <w:rsid w:val="00CC7EEE"/>
    <w:rsid w:val="00CD6DF7"/>
    <w:rsid w:val="00D01DE6"/>
    <w:rsid w:val="00D03E90"/>
    <w:rsid w:val="00D25D73"/>
    <w:rsid w:val="00D47EB9"/>
    <w:rsid w:val="00D572C1"/>
    <w:rsid w:val="00D66735"/>
    <w:rsid w:val="00E034D7"/>
    <w:rsid w:val="00E16E68"/>
    <w:rsid w:val="00E2134E"/>
    <w:rsid w:val="00ED7609"/>
    <w:rsid w:val="00EE03E9"/>
    <w:rsid w:val="00EE24CF"/>
    <w:rsid w:val="00F10D22"/>
    <w:rsid w:val="00F377AD"/>
    <w:rsid w:val="00F52BAD"/>
    <w:rsid w:val="00F80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474</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39</cp:revision>
  <dcterms:created xsi:type="dcterms:W3CDTF">2021-09-07T14:29:00Z</dcterms:created>
  <dcterms:modified xsi:type="dcterms:W3CDTF">2021-09-07T14:57:00Z</dcterms:modified>
</cp:coreProperties>
</file>