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23377DF3"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D87D06">
        <w:rPr>
          <w:rFonts w:ascii="Times New Roman" w:hAnsi="Times New Roman" w:cs="Times New Roman"/>
          <w:b/>
          <w:sz w:val="24"/>
          <w:szCs w:val="24"/>
        </w:rPr>
        <w:t xml:space="preserve"> BIA</w:t>
      </w:r>
    </w:p>
    <w:p w14:paraId="2A6696E0" w14:textId="77777777" w:rsidR="00D87D06" w:rsidRDefault="00D87D06" w:rsidP="00936658">
      <w:pPr>
        <w:spacing w:after="0"/>
        <w:rPr>
          <w:rFonts w:ascii="Times New Roman" w:hAnsi="Times New Roman" w:cs="Times New Roman"/>
          <w:b/>
          <w:sz w:val="24"/>
          <w:szCs w:val="24"/>
        </w:rPr>
      </w:pPr>
    </w:p>
    <w:p w14:paraId="20453BB8" w14:textId="3CB6CB2B"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D87D06">
        <w:rPr>
          <w:rFonts w:ascii="Times New Roman" w:hAnsi="Times New Roman" w:cs="Times New Roman"/>
          <w:bCs/>
          <w:i/>
          <w:iCs/>
          <w:sz w:val="24"/>
          <w:szCs w:val="24"/>
        </w:rPr>
        <w:t>Matter of M-F-O-</w:t>
      </w:r>
      <w:r w:rsidR="00D87D06">
        <w:rPr>
          <w:rFonts w:ascii="Times New Roman" w:hAnsi="Times New Roman" w:cs="Times New Roman"/>
          <w:bCs/>
          <w:sz w:val="24"/>
          <w:szCs w:val="24"/>
        </w:rPr>
        <w:t>, 28 I&amp;N Dec. 408 (BIA 2021)</w:t>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D87D06">
        <w:rPr>
          <w:rFonts w:ascii="Times New Roman" w:hAnsi="Times New Roman" w:cs="Times New Roman"/>
          <w:bCs/>
          <w:sz w:val="24"/>
          <w:szCs w:val="24"/>
        </w:rPr>
        <w:t xml:space="preserve"> Nov. 4, 2021</w:t>
      </w:r>
    </w:p>
    <w:p w14:paraId="4B9D0883" w14:textId="77777777" w:rsidR="00D87D06" w:rsidRPr="00D87D06" w:rsidRDefault="00D87D06" w:rsidP="00936658">
      <w:pPr>
        <w:spacing w:after="0"/>
        <w:rPr>
          <w:rFonts w:ascii="Times New Roman" w:hAnsi="Times New Roman" w:cs="Times New Roman"/>
          <w:bCs/>
          <w:sz w:val="24"/>
          <w:szCs w:val="24"/>
        </w:rPr>
      </w:pPr>
    </w:p>
    <w:p w14:paraId="20453BBA" w14:textId="6D829445"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D87D06">
        <w:rPr>
          <w:rFonts w:ascii="Times New Roman" w:hAnsi="Times New Roman" w:cs="Times New Roman"/>
          <w:bCs/>
          <w:sz w:val="24"/>
          <w:szCs w:val="24"/>
        </w:rPr>
        <w:t xml:space="preserve"> </w:t>
      </w:r>
      <w:r w:rsidR="000A6D6C">
        <w:rPr>
          <w:rFonts w:ascii="Times New Roman" w:hAnsi="Times New Roman" w:cs="Times New Roman"/>
          <w:bCs/>
          <w:sz w:val="24"/>
          <w:szCs w:val="24"/>
        </w:rPr>
        <w:t>Malphrus</w:t>
      </w:r>
      <w:r w:rsidR="00D9741E">
        <w:rPr>
          <w:rFonts w:ascii="Times New Roman" w:hAnsi="Times New Roman" w:cs="Times New Roman"/>
          <w:bCs/>
          <w:sz w:val="24"/>
          <w:szCs w:val="24"/>
        </w:rPr>
        <w:t>, Creppy, Liebowitz</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D9741E">
        <w:rPr>
          <w:rFonts w:ascii="Times New Roman" w:hAnsi="Times New Roman" w:cs="Times New Roman"/>
          <w:bCs/>
          <w:sz w:val="24"/>
          <w:szCs w:val="24"/>
        </w:rPr>
        <w:t xml:space="preserve"> Malphrus</w:t>
      </w:r>
    </w:p>
    <w:p w14:paraId="457F1AD2" w14:textId="77777777" w:rsidR="00D9741E" w:rsidRPr="00D9741E" w:rsidRDefault="00D9741E" w:rsidP="00936658">
      <w:pPr>
        <w:spacing w:after="0"/>
        <w:rPr>
          <w:rFonts w:ascii="Times New Roman" w:hAnsi="Times New Roman" w:cs="Times New Roman"/>
          <w:bCs/>
          <w:sz w:val="24"/>
          <w:szCs w:val="24"/>
        </w:rPr>
      </w:pPr>
    </w:p>
    <w:p w14:paraId="20453BBB" w14:textId="516E81B0" w:rsidR="00077658" w:rsidRPr="00D9741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D9741E">
        <w:rPr>
          <w:rFonts w:ascii="Times New Roman" w:hAnsi="Times New Roman" w:cs="Times New Roman"/>
          <w:bCs/>
          <w:sz w:val="24"/>
          <w:szCs w:val="24"/>
        </w:rPr>
        <w:t xml:space="preserve"> </w:t>
      </w:r>
      <w:r w:rsidR="006A2F2A">
        <w:rPr>
          <w:rFonts w:ascii="Times New Roman" w:hAnsi="Times New Roman" w:cs="Times New Roman"/>
          <w:bCs/>
          <w:sz w:val="24"/>
          <w:szCs w:val="24"/>
        </w:rPr>
        <w:t xml:space="preserve">Defective </w:t>
      </w:r>
      <w:r w:rsidR="00D9741E">
        <w:rPr>
          <w:rFonts w:ascii="Times New Roman" w:hAnsi="Times New Roman" w:cs="Times New Roman"/>
          <w:bCs/>
          <w:sz w:val="24"/>
          <w:szCs w:val="24"/>
        </w:rPr>
        <w:t xml:space="preserve">NTA, </w:t>
      </w:r>
      <w:r w:rsidR="00D9741E">
        <w:rPr>
          <w:rFonts w:ascii="Times New Roman" w:hAnsi="Times New Roman" w:cs="Times New Roman"/>
          <w:bCs/>
          <w:i/>
          <w:iCs/>
          <w:sz w:val="24"/>
          <w:szCs w:val="24"/>
        </w:rPr>
        <w:t>Niz-Chavez</w:t>
      </w:r>
      <w:r w:rsidR="00D9741E">
        <w:rPr>
          <w:rFonts w:ascii="Times New Roman" w:hAnsi="Times New Roman" w:cs="Times New Roman"/>
          <w:bCs/>
          <w:sz w:val="24"/>
          <w:szCs w:val="24"/>
        </w:rPr>
        <w:t xml:space="preserve">, </w:t>
      </w:r>
      <w:r w:rsidR="007E5AB8">
        <w:rPr>
          <w:rFonts w:ascii="Times New Roman" w:hAnsi="Times New Roman" w:cs="Times New Roman"/>
          <w:bCs/>
          <w:sz w:val="24"/>
          <w:szCs w:val="24"/>
        </w:rPr>
        <w:t>S</w:t>
      </w:r>
      <w:r w:rsidR="00D9741E">
        <w:rPr>
          <w:rFonts w:ascii="Times New Roman" w:hAnsi="Times New Roman" w:cs="Times New Roman"/>
          <w:bCs/>
          <w:sz w:val="24"/>
          <w:szCs w:val="24"/>
        </w:rPr>
        <w:t>top-</w:t>
      </w:r>
      <w:r w:rsidR="007E5AB8">
        <w:rPr>
          <w:rFonts w:ascii="Times New Roman" w:hAnsi="Times New Roman" w:cs="Times New Roman"/>
          <w:bCs/>
          <w:sz w:val="24"/>
          <w:szCs w:val="24"/>
        </w:rPr>
        <w:t>T</w:t>
      </w:r>
      <w:r w:rsidR="00D9741E">
        <w:rPr>
          <w:rFonts w:ascii="Times New Roman" w:hAnsi="Times New Roman" w:cs="Times New Roman"/>
          <w:bCs/>
          <w:sz w:val="24"/>
          <w:szCs w:val="24"/>
        </w:rPr>
        <w:t xml:space="preserve">ime </w:t>
      </w:r>
      <w:r w:rsidR="007E5AB8">
        <w:rPr>
          <w:rFonts w:ascii="Times New Roman" w:hAnsi="Times New Roman" w:cs="Times New Roman"/>
          <w:bCs/>
          <w:sz w:val="24"/>
          <w:szCs w:val="24"/>
        </w:rPr>
        <w:t>R</w:t>
      </w:r>
      <w:r w:rsidR="00D9741E">
        <w:rPr>
          <w:rFonts w:ascii="Times New Roman" w:hAnsi="Times New Roman" w:cs="Times New Roman"/>
          <w:bCs/>
          <w:sz w:val="24"/>
          <w:szCs w:val="24"/>
        </w:rPr>
        <w:t>ule</w:t>
      </w:r>
      <w:r w:rsidR="006A2F2A">
        <w:rPr>
          <w:rFonts w:ascii="Times New Roman" w:hAnsi="Times New Roman" w:cs="Times New Roman"/>
          <w:bCs/>
          <w:sz w:val="24"/>
          <w:szCs w:val="24"/>
        </w:rPr>
        <w:t xml:space="preserve">, </w:t>
      </w:r>
      <w:r w:rsidR="007E5AB8" w:rsidRPr="007E5AB8">
        <w:rPr>
          <w:rFonts w:ascii="Times New Roman" w:hAnsi="Times New Roman" w:cs="Times New Roman"/>
          <w:bCs/>
          <w:sz w:val="24"/>
          <w:szCs w:val="24"/>
        </w:rPr>
        <w:t>Post-Conclusion Voluntary Departure</w:t>
      </w:r>
      <w:r w:rsidR="00190A0A">
        <w:rPr>
          <w:rFonts w:ascii="Times New Roman" w:hAnsi="Times New Roman" w:cs="Times New Roman"/>
          <w:bCs/>
          <w:sz w:val="24"/>
          <w:szCs w:val="24"/>
        </w:rPr>
        <w:t xml:space="preserve"> (PCVD)</w:t>
      </w:r>
      <w:r w:rsidR="00903A91">
        <w:rPr>
          <w:rFonts w:ascii="Times New Roman" w:hAnsi="Times New Roman" w:cs="Times New Roman"/>
          <w:bCs/>
          <w:sz w:val="24"/>
          <w:szCs w:val="24"/>
        </w:rPr>
        <w:t>, nexus, termination, jurisdiction, Notice of Hearing</w:t>
      </w:r>
    </w:p>
    <w:p w14:paraId="599A4B93" w14:textId="77777777" w:rsidR="00D9741E" w:rsidRPr="00936658" w:rsidRDefault="00D9741E" w:rsidP="00936658">
      <w:pPr>
        <w:spacing w:after="0"/>
        <w:rPr>
          <w:rFonts w:ascii="Times New Roman" w:hAnsi="Times New Roman" w:cs="Times New Roman"/>
          <w:b/>
          <w:sz w:val="24"/>
          <w:szCs w:val="24"/>
        </w:rPr>
      </w:pPr>
    </w:p>
    <w:p w14:paraId="20453BBC" w14:textId="77F6D785" w:rsidR="00077658" w:rsidRPr="006A2F2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AD0911">
        <w:rPr>
          <w:rFonts w:ascii="Times New Roman" w:hAnsi="Times New Roman" w:cs="Times New Roman"/>
          <w:b/>
          <w:sz w:val="24"/>
          <w:szCs w:val="24"/>
        </w:rPr>
        <w:t xml:space="preserve"> </w:t>
      </w:r>
      <w:r w:rsidR="00AD0911">
        <w:rPr>
          <w:rFonts w:ascii="Times New Roman" w:hAnsi="Times New Roman" w:cs="Times New Roman"/>
          <w:bCs/>
          <w:i/>
          <w:iCs/>
          <w:sz w:val="24"/>
          <w:szCs w:val="24"/>
        </w:rPr>
        <w:t>(inter alia)</w:t>
      </w:r>
      <w:r w:rsidRPr="00936658">
        <w:rPr>
          <w:rFonts w:ascii="Times New Roman" w:hAnsi="Times New Roman" w:cs="Times New Roman"/>
          <w:b/>
          <w:sz w:val="24"/>
          <w:szCs w:val="24"/>
        </w:rPr>
        <w:t>:</w:t>
      </w:r>
      <w:r w:rsidR="006A2F2A">
        <w:rPr>
          <w:rFonts w:ascii="Times New Roman" w:hAnsi="Times New Roman" w:cs="Times New Roman"/>
          <w:bCs/>
          <w:sz w:val="24"/>
          <w:szCs w:val="24"/>
        </w:rPr>
        <w:t xml:space="preserve"> Does a defective NTA stop the calendar clock </w:t>
      </w:r>
      <w:r w:rsidR="007E5AB8">
        <w:rPr>
          <w:rFonts w:ascii="Times New Roman" w:hAnsi="Times New Roman" w:cs="Times New Roman"/>
          <w:bCs/>
          <w:sz w:val="24"/>
          <w:szCs w:val="24"/>
        </w:rPr>
        <w:t>for purposes of Post-Conclusion Voluntary Departure?</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47ABD393"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BA3E92">
        <w:rPr>
          <w:rFonts w:ascii="Times New Roman" w:hAnsi="Times New Roman" w:cs="Times New Roman"/>
          <w:bCs/>
          <w:sz w:val="24"/>
          <w:szCs w:val="24"/>
        </w:rPr>
        <w:t xml:space="preserve"> Nope. </w:t>
      </w:r>
      <w:r w:rsidR="00190A0A">
        <w:rPr>
          <w:rFonts w:ascii="Times New Roman" w:hAnsi="Times New Roman" w:cs="Times New Roman"/>
          <w:bCs/>
          <w:sz w:val="24"/>
          <w:szCs w:val="24"/>
        </w:rPr>
        <w:t xml:space="preserve">A defective NTA means the calendar clock keeps running for accrual of 1 year of physical presence for </w:t>
      </w:r>
      <w:r w:rsidR="00190A0A" w:rsidRPr="001F4ABD">
        <w:rPr>
          <w:rFonts w:ascii="Times New Roman" w:hAnsi="Times New Roman" w:cs="Times New Roman"/>
          <w:b/>
          <w:sz w:val="24"/>
          <w:szCs w:val="24"/>
        </w:rPr>
        <w:t>PCVD</w:t>
      </w:r>
      <w:r w:rsidR="00125AA6">
        <w:rPr>
          <w:rFonts w:ascii="Times New Roman" w:hAnsi="Times New Roman" w:cs="Times New Roman"/>
          <w:bCs/>
          <w:sz w:val="24"/>
          <w:szCs w:val="24"/>
        </w:rPr>
        <w:t>—and this can’t be cured by a subsequent Notice of Hearing.</w:t>
      </w:r>
      <w:r w:rsidR="00395B75">
        <w:rPr>
          <w:rFonts w:ascii="Times New Roman" w:hAnsi="Times New Roman" w:cs="Times New Roman"/>
          <w:bCs/>
          <w:sz w:val="24"/>
          <w:szCs w:val="24"/>
        </w:rPr>
        <w:t xml:space="preserve"> Remanded to IJ to see if he is otherwise eligible for Voluntary Departure.</w:t>
      </w:r>
    </w:p>
    <w:p w14:paraId="091F1F18" w14:textId="1593B080" w:rsidR="00E36370" w:rsidRDefault="003251E1" w:rsidP="00E3637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Neither </w:t>
      </w:r>
      <w:r>
        <w:rPr>
          <w:rFonts w:ascii="Times New Roman" w:hAnsi="Times New Roman" w:cs="Times New Roman"/>
          <w:bCs/>
          <w:i/>
          <w:iCs/>
          <w:sz w:val="24"/>
          <w:szCs w:val="24"/>
        </w:rPr>
        <w:t>Pereira</w:t>
      </w:r>
      <w:r>
        <w:rPr>
          <w:rFonts w:ascii="Times New Roman" w:hAnsi="Times New Roman" w:cs="Times New Roman"/>
          <w:bCs/>
          <w:sz w:val="24"/>
          <w:szCs w:val="24"/>
        </w:rPr>
        <w:t xml:space="preserve"> nor </w:t>
      </w:r>
      <w:r>
        <w:rPr>
          <w:rFonts w:ascii="Times New Roman" w:hAnsi="Times New Roman" w:cs="Times New Roman"/>
          <w:bCs/>
          <w:i/>
          <w:iCs/>
          <w:sz w:val="24"/>
          <w:szCs w:val="24"/>
        </w:rPr>
        <w:t>Niz-Chavez</w:t>
      </w:r>
      <w:r>
        <w:rPr>
          <w:rFonts w:ascii="Times New Roman" w:hAnsi="Times New Roman" w:cs="Times New Roman"/>
          <w:bCs/>
          <w:sz w:val="24"/>
          <w:szCs w:val="24"/>
        </w:rPr>
        <w:t xml:space="preserve"> “require the </w:t>
      </w:r>
      <w:r w:rsidRPr="001F4ABD">
        <w:rPr>
          <w:rFonts w:ascii="Times New Roman" w:hAnsi="Times New Roman" w:cs="Times New Roman"/>
          <w:b/>
          <w:sz w:val="24"/>
          <w:szCs w:val="24"/>
        </w:rPr>
        <w:t>termination</w:t>
      </w:r>
      <w:r>
        <w:rPr>
          <w:rFonts w:ascii="Times New Roman" w:hAnsi="Times New Roman" w:cs="Times New Roman"/>
          <w:bCs/>
          <w:sz w:val="24"/>
          <w:szCs w:val="24"/>
        </w:rPr>
        <w:t xml:space="preserve"> of removal proceedings when a notice to appear fails to specify the time or place of a removal hearing.”</w:t>
      </w:r>
      <w:r>
        <w:rPr>
          <w:rFonts w:ascii="Times New Roman" w:hAnsi="Times New Roman" w:cs="Times New Roman"/>
          <w:bCs/>
          <w:sz w:val="24"/>
          <w:szCs w:val="24"/>
        </w:rPr>
        <w:tab/>
        <w:t>414</w:t>
      </w:r>
    </w:p>
    <w:p w14:paraId="5DE6E442" w14:textId="3446C424" w:rsidR="007D48D7" w:rsidRDefault="00401CDA" w:rsidP="00E3637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If there is NO </w:t>
      </w:r>
      <w:r w:rsidRPr="001F4ABD">
        <w:rPr>
          <w:rFonts w:ascii="Times New Roman" w:hAnsi="Times New Roman" w:cs="Times New Roman"/>
          <w:b/>
          <w:sz w:val="24"/>
          <w:szCs w:val="24"/>
        </w:rPr>
        <w:t>nexus</w:t>
      </w:r>
      <w:r>
        <w:rPr>
          <w:rFonts w:ascii="Times New Roman" w:hAnsi="Times New Roman" w:cs="Times New Roman"/>
          <w:bCs/>
          <w:sz w:val="24"/>
          <w:szCs w:val="24"/>
        </w:rPr>
        <w:t xml:space="preserve"> between persecution and protected ground, then there’s no need to distinguish between the “</w:t>
      </w:r>
      <w:r w:rsidR="001F4ABD">
        <w:rPr>
          <w:rFonts w:ascii="Times New Roman" w:hAnsi="Times New Roman" w:cs="Times New Roman"/>
          <w:bCs/>
          <w:sz w:val="24"/>
          <w:szCs w:val="24"/>
        </w:rPr>
        <w:t>one</w:t>
      </w:r>
      <w:r>
        <w:rPr>
          <w:rFonts w:ascii="Times New Roman" w:hAnsi="Times New Roman" w:cs="Times New Roman"/>
          <w:bCs/>
          <w:sz w:val="24"/>
          <w:szCs w:val="24"/>
        </w:rPr>
        <w:t xml:space="preserve"> central reason” </w:t>
      </w:r>
      <w:r w:rsidR="001F4ABD">
        <w:rPr>
          <w:rFonts w:ascii="Times New Roman" w:hAnsi="Times New Roman" w:cs="Times New Roman"/>
          <w:bCs/>
          <w:sz w:val="24"/>
          <w:szCs w:val="24"/>
        </w:rPr>
        <w:t xml:space="preserve">standard </w:t>
      </w:r>
      <w:r>
        <w:rPr>
          <w:rFonts w:ascii="Times New Roman" w:hAnsi="Times New Roman" w:cs="Times New Roman"/>
          <w:bCs/>
          <w:sz w:val="24"/>
          <w:szCs w:val="24"/>
        </w:rPr>
        <w:t>of the asylum statute and the “</w:t>
      </w:r>
      <w:r w:rsidR="001F4ABD">
        <w:rPr>
          <w:rFonts w:ascii="Times New Roman" w:hAnsi="Times New Roman" w:cs="Times New Roman"/>
          <w:bCs/>
          <w:sz w:val="24"/>
          <w:szCs w:val="24"/>
        </w:rPr>
        <w:t>a reason” standard of the withholding statute.</w:t>
      </w:r>
    </w:p>
    <w:p w14:paraId="19DF779A" w14:textId="777EDEC7" w:rsidR="00BA0151" w:rsidRPr="00E36370" w:rsidRDefault="00BA0151" w:rsidP="00E3637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“We agree with the parties that our holding in </w:t>
      </w:r>
      <w:r>
        <w:rPr>
          <w:rFonts w:ascii="Times New Roman" w:hAnsi="Times New Roman" w:cs="Times New Roman"/>
          <w:bCs/>
          <w:i/>
          <w:iCs/>
          <w:sz w:val="24"/>
          <w:szCs w:val="24"/>
        </w:rPr>
        <w:t>Matter of Viera-Garcia and Ordonez-Viera</w:t>
      </w:r>
      <w:r w:rsidR="00E63A07">
        <w:rPr>
          <w:rFonts w:ascii="Times New Roman" w:hAnsi="Times New Roman" w:cs="Times New Roman"/>
          <w:bCs/>
          <w:sz w:val="24"/>
          <w:szCs w:val="24"/>
        </w:rPr>
        <w:t xml:space="preserve"> does not survive </w:t>
      </w:r>
      <w:r w:rsidR="00E63A07">
        <w:rPr>
          <w:rFonts w:ascii="Times New Roman" w:hAnsi="Times New Roman" w:cs="Times New Roman"/>
          <w:bCs/>
          <w:i/>
          <w:iCs/>
          <w:sz w:val="24"/>
          <w:szCs w:val="24"/>
        </w:rPr>
        <w:t>Niz-Chavez</w:t>
      </w:r>
      <w:r w:rsidR="00E63A07">
        <w:rPr>
          <w:rFonts w:ascii="Times New Roman" w:hAnsi="Times New Roman" w:cs="Times New Roman"/>
          <w:bCs/>
          <w:sz w:val="24"/>
          <w:szCs w:val="24"/>
        </w:rPr>
        <w:t>.”</w:t>
      </w:r>
      <w:r w:rsidR="00E63A07">
        <w:rPr>
          <w:rFonts w:ascii="Times New Roman" w:hAnsi="Times New Roman" w:cs="Times New Roman"/>
          <w:bCs/>
          <w:sz w:val="24"/>
          <w:szCs w:val="24"/>
        </w:rPr>
        <w:tab/>
      </w:r>
      <w:r w:rsidR="00642473">
        <w:rPr>
          <w:rFonts w:ascii="Times New Roman" w:hAnsi="Times New Roman" w:cs="Times New Roman"/>
          <w:bCs/>
          <w:sz w:val="24"/>
          <w:szCs w:val="24"/>
        </w:rPr>
        <w:tab/>
        <w:t>416</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2743C9DA" w:rsidR="00077658" w:rsidRPr="0059104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B57716">
        <w:rPr>
          <w:rFonts w:ascii="Times New Roman" w:hAnsi="Times New Roman" w:cs="Times New Roman"/>
          <w:bCs/>
          <w:sz w:val="24"/>
          <w:szCs w:val="24"/>
        </w:rPr>
        <w:t xml:space="preserve"> The PCVD statute’s stop-time rule (</w:t>
      </w:r>
      <w:r w:rsidR="00B57716">
        <w:rPr>
          <w:rFonts w:ascii="Times New Roman" w:hAnsi="Times New Roman" w:cs="Times New Roman"/>
          <w:b/>
          <w:sz w:val="24"/>
          <w:szCs w:val="24"/>
        </w:rPr>
        <w:t>§240B(b)</w:t>
      </w:r>
      <w:r w:rsidR="00B57716">
        <w:rPr>
          <w:rFonts w:ascii="Times New Roman" w:hAnsi="Times New Roman" w:cs="Times New Roman"/>
          <w:bCs/>
          <w:sz w:val="24"/>
          <w:szCs w:val="24"/>
        </w:rPr>
        <w:t>) is governed by the same expectations as the cancellation</w:t>
      </w:r>
      <w:r w:rsidR="00B61D30">
        <w:rPr>
          <w:rFonts w:ascii="Times New Roman" w:hAnsi="Times New Roman" w:cs="Times New Roman"/>
          <w:bCs/>
          <w:sz w:val="24"/>
          <w:szCs w:val="24"/>
        </w:rPr>
        <w:t xml:space="preserve"> stop-time rule, namely that the NTA contain the time and place of the initial removal hearing</w:t>
      </w:r>
      <w:r w:rsidR="00591048">
        <w:rPr>
          <w:rFonts w:ascii="Times New Roman" w:hAnsi="Times New Roman" w:cs="Times New Roman"/>
          <w:bCs/>
          <w:sz w:val="24"/>
          <w:szCs w:val="24"/>
        </w:rPr>
        <w:t xml:space="preserve"> (</w:t>
      </w:r>
      <w:r w:rsidR="00591048">
        <w:rPr>
          <w:rFonts w:ascii="Times New Roman" w:hAnsi="Times New Roman" w:cs="Times New Roman"/>
          <w:b/>
          <w:sz w:val="24"/>
          <w:szCs w:val="24"/>
        </w:rPr>
        <w:t>§239(a)</w:t>
      </w:r>
      <w:r w:rsidR="00591048">
        <w:rPr>
          <w:rFonts w:ascii="Times New Roman" w:hAnsi="Times New Roman" w:cs="Times New Roman"/>
          <w:bCs/>
          <w:sz w:val="24"/>
          <w:szCs w:val="24"/>
        </w:rPr>
        <w:t xml:space="preserve">). So since </w:t>
      </w:r>
      <w:r w:rsidR="00591048">
        <w:rPr>
          <w:rFonts w:ascii="Times New Roman" w:hAnsi="Times New Roman" w:cs="Times New Roman"/>
          <w:bCs/>
          <w:i/>
          <w:iCs/>
          <w:sz w:val="24"/>
          <w:szCs w:val="24"/>
        </w:rPr>
        <w:t>Niz-Chavez</w:t>
      </w:r>
      <w:r w:rsidR="00591048">
        <w:rPr>
          <w:rFonts w:ascii="Times New Roman" w:hAnsi="Times New Roman" w:cs="Times New Roman"/>
          <w:bCs/>
          <w:sz w:val="24"/>
          <w:szCs w:val="24"/>
        </w:rPr>
        <w:t xml:space="preserve"> applied in one such situation, it’s going to apply in this other one.</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279ABECF" w:rsidR="00077658" w:rsidRPr="00AE734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AE734E">
        <w:rPr>
          <w:rFonts w:ascii="Times New Roman" w:hAnsi="Times New Roman" w:cs="Times New Roman"/>
          <w:bCs/>
          <w:sz w:val="24"/>
          <w:szCs w:val="24"/>
        </w:rPr>
        <w:t xml:space="preserve"> (409) Citizen of Guatemala </w:t>
      </w:r>
      <w:r w:rsidR="00F059CB">
        <w:rPr>
          <w:rFonts w:ascii="Times New Roman" w:hAnsi="Times New Roman" w:cs="Times New Roman"/>
          <w:bCs/>
          <w:sz w:val="24"/>
          <w:szCs w:val="24"/>
        </w:rPr>
        <w:t>applied for admission in U.S. without valid entry documents. Placed in removal proceedings; NTA lacked time or place. Later served with Notice of Hearing; attended all removal hearings. Denied relief</w:t>
      </w:r>
      <w:r w:rsidR="00C24E0A">
        <w:rPr>
          <w:rFonts w:ascii="Times New Roman" w:hAnsi="Times New Roman" w:cs="Times New Roman"/>
          <w:bCs/>
          <w:sz w:val="24"/>
          <w:szCs w:val="24"/>
        </w:rPr>
        <w:t xml:space="preserve">.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5A7BD1DD"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5B2EFEAC" w14:textId="77502570" w:rsidR="003C404F" w:rsidRPr="003C404F" w:rsidRDefault="003C404F" w:rsidP="003C404F">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Denied relief from removal; “found that the NTA in this case precluded the respondent from accruing the requisite period of continuous physical presence for purposes of voluntary departure at the conclusion of removal proceedings.”</w:t>
      </w:r>
      <w:r>
        <w:rPr>
          <w:rFonts w:ascii="Times New Roman" w:hAnsi="Times New Roman" w:cs="Times New Roman"/>
          <w:bCs/>
          <w:sz w:val="24"/>
          <w:szCs w:val="24"/>
        </w:rPr>
        <w:tab/>
        <w:t>410</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76AF09C5"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491526DA" w14:textId="7CE635C3" w:rsidR="00C51D6D" w:rsidRPr="00981FEE" w:rsidRDefault="00C51D6D"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§239(a)</w:t>
      </w:r>
      <w:r w:rsidR="00981FEE">
        <w:rPr>
          <w:rFonts w:ascii="Times New Roman" w:hAnsi="Times New Roman" w:cs="Times New Roman"/>
          <w:b/>
          <w:sz w:val="24"/>
          <w:szCs w:val="24"/>
        </w:rPr>
        <w:t>:</w:t>
      </w:r>
      <w:r w:rsidR="00981FEE">
        <w:rPr>
          <w:rFonts w:ascii="Times New Roman" w:hAnsi="Times New Roman" w:cs="Times New Roman"/>
          <w:bCs/>
          <w:sz w:val="24"/>
          <w:szCs w:val="24"/>
        </w:rPr>
        <w:t xml:space="preserve"> NTA must specify time and place of initial removal proceeding.</w:t>
      </w:r>
    </w:p>
    <w:p w14:paraId="6B1047A0" w14:textId="2B23D8CA" w:rsidR="00981FEE" w:rsidRPr="009E1051" w:rsidRDefault="00981FEE" w:rsidP="00981FE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§240B(b):</w:t>
      </w:r>
      <w:r>
        <w:rPr>
          <w:rFonts w:ascii="Times New Roman" w:hAnsi="Times New Roman" w:cs="Times New Roman"/>
          <w:bCs/>
          <w:sz w:val="24"/>
          <w:szCs w:val="24"/>
        </w:rPr>
        <w:t xml:space="preserve"> Post-conclusion voluntary departure</w:t>
      </w:r>
      <w:r>
        <w:rPr>
          <w:rFonts w:ascii="Times New Roman" w:hAnsi="Times New Roman" w:cs="Times New Roman"/>
          <w:bCs/>
          <w:sz w:val="24"/>
          <w:szCs w:val="24"/>
        </w:rPr>
        <w:t xml:space="preserve"> requirements</w:t>
      </w:r>
      <w:r>
        <w:rPr>
          <w:rFonts w:ascii="Times New Roman" w:hAnsi="Times New Roman" w:cs="Times New Roman"/>
          <w:bCs/>
          <w:sz w:val="24"/>
          <w:szCs w:val="24"/>
        </w:rPr>
        <w:t>.</w:t>
      </w:r>
      <w:r w:rsidR="00DA4926">
        <w:rPr>
          <w:rFonts w:ascii="Times New Roman" w:hAnsi="Times New Roman" w:cs="Times New Roman"/>
          <w:bCs/>
          <w:sz w:val="24"/>
          <w:szCs w:val="24"/>
        </w:rPr>
        <w:t xml:space="preserve"> (Tied to ^^^)</w:t>
      </w:r>
    </w:p>
    <w:p w14:paraId="6C9BF5CD" w14:textId="5CAF9F65" w:rsidR="00DE7A26" w:rsidRPr="00DE7A26" w:rsidRDefault="00EF00C3"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Posos-Sanchez v. Garland</w:t>
      </w:r>
      <w:r>
        <w:rPr>
          <w:rFonts w:ascii="Times New Roman" w:hAnsi="Times New Roman" w:cs="Times New Roman"/>
          <w:b/>
          <w:sz w:val="24"/>
          <w:szCs w:val="24"/>
        </w:rPr>
        <w:t>, 3 F.4th 1176 (9th Cir. 2021):</w:t>
      </w:r>
      <w:r>
        <w:rPr>
          <w:rFonts w:ascii="Times New Roman" w:hAnsi="Times New Roman" w:cs="Times New Roman"/>
          <w:bCs/>
          <w:sz w:val="24"/>
          <w:szCs w:val="24"/>
        </w:rPr>
        <w:t xml:space="preserve"> </w:t>
      </w:r>
      <w:r w:rsidR="00012E1C">
        <w:rPr>
          <w:rFonts w:ascii="Times New Roman" w:hAnsi="Times New Roman" w:cs="Times New Roman"/>
          <w:bCs/>
          <w:sz w:val="24"/>
          <w:szCs w:val="24"/>
        </w:rPr>
        <w:t>defective NTA does not stop accrual of physical presence for purposes of Post-Conclusion Voluntary Departure</w:t>
      </w:r>
      <w:r w:rsidR="0024324E">
        <w:rPr>
          <w:rFonts w:ascii="Times New Roman" w:hAnsi="Times New Roman" w:cs="Times New Roman"/>
          <w:bCs/>
          <w:sz w:val="24"/>
          <w:szCs w:val="24"/>
        </w:rPr>
        <w:t xml:space="preserve">, and a Notice of Hearing cannot </w:t>
      </w:r>
      <w:r w:rsidR="00651C92">
        <w:rPr>
          <w:rFonts w:ascii="Times New Roman" w:hAnsi="Times New Roman" w:cs="Times New Roman"/>
          <w:bCs/>
          <w:sz w:val="24"/>
          <w:szCs w:val="24"/>
        </w:rPr>
        <w:t>correct a defective NTA</w:t>
      </w:r>
      <w:r w:rsidR="003A6744">
        <w:rPr>
          <w:rFonts w:ascii="Times New Roman" w:hAnsi="Times New Roman" w:cs="Times New Roman"/>
          <w:bCs/>
          <w:sz w:val="24"/>
          <w:szCs w:val="24"/>
        </w:rPr>
        <w:t>.</w:t>
      </w:r>
    </w:p>
    <w:p w14:paraId="3416BB56" w14:textId="3AD53EAE" w:rsidR="00EF00C3" w:rsidRPr="00CE349F" w:rsidRDefault="00AC22C6" w:rsidP="00DE7A26">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lastRenderedPageBreak/>
        <w:t>“</w:t>
      </w:r>
      <w:r w:rsidR="00DE7A26">
        <w:rPr>
          <w:rFonts w:ascii="Times New Roman" w:hAnsi="Times New Roman" w:cs="Times New Roman"/>
          <w:bCs/>
          <w:sz w:val="24"/>
          <w:szCs w:val="24"/>
        </w:rPr>
        <w:t>Accordingly, the court reasoned that a respondent accrues physical presence for purposes of section 240B(b)(1)(A)</w:t>
      </w:r>
      <w:r w:rsidR="003A6744">
        <w:rPr>
          <w:rFonts w:ascii="Times New Roman" w:hAnsi="Times New Roman" w:cs="Times New Roman"/>
          <w:bCs/>
          <w:sz w:val="24"/>
          <w:szCs w:val="24"/>
        </w:rPr>
        <w:t xml:space="preserve"> from the moment he enters the United States until he is served with a single document providing him with all the information required by section 239(a) of the Act. We agree with the Ninth Circuit’s reasoning and will apply it nationwide.”</w:t>
      </w:r>
      <w:r w:rsidR="003A6744">
        <w:rPr>
          <w:rFonts w:ascii="Times New Roman" w:hAnsi="Times New Roman" w:cs="Times New Roman"/>
          <w:bCs/>
          <w:sz w:val="24"/>
          <w:szCs w:val="24"/>
        </w:rPr>
        <w:tab/>
      </w:r>
      <w:r w:rsidR="003A6744">
        <w:rPr>
          <w:rFonts w:ascii="Times New Roman" w:hAnsi="Times New Roman" w:cs="Times New Roman"/>
          <w:bCs/>
          <w:sz w:val="24"/>
          <w:szCs w:val="24"/>
        </w:rPr>
        <w:tab/>
      </w:r>
      <w:r w:rsidR="00B57716">
        <w:rPr>
          <w:rFonts w:ascii="Times New Roman" w:hAnsi="Times New Roman" w:cs="Times New Roman"/>
          <w:bCs/>
          <w:sz w:val="24"/>
          <w:szCs w:val="24"/>
        </w:rPr>
        <w:t>416</w:t>
      </w:r>
    </w:p>
    <w:p w14:paraId="0C829391" w14:textId="72E2C356" w:rsidR="00CE349F" w:rsidRPr="003C404F" w:rsidRDefault="00AE734E"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Viera-Garcia &amp; Ordonez-Viera</w:t>
      </w:r>
      <w:r>
        <w:rPr>
          <w:rFonts w:ascii="Times New Roman" w:hAnsi="Times New Roman" w:cs="Times New Roman"/>
          <w:b/>
          <w:sz w:val="24"/>
          <w:szCs w:val="24"/>
        </w:rPr>
        <w:t>, 28 I&amp;N Dec. 223 (BIA 2021):</w:t>
      </w:r>
      <w:r>
        <w:rPr>
          <w:rFonts w:ascii="Times New Roman" w:hAnsi="Times New Roman" w:cs="Times New Roman"/>
          <w:bCs/>
          <w:sz w:val="24"/>
          <w:szCs w:val="24"/>
        </w:rPr>
        <w:t xml:space="preserve"> overruled in part.</w:t>
      </w:r>
      <w:r w:rsidR="00DA4926">
        <w:rPr>
          <w:rFonts w:ascii="Times New Roman" w:hAnsi="Times New Roman" w:cs="Times New Roman"/>
          <w:bCs/>
          <w:sz w:val="24"/>
          <w:szCs w:val="24"/>
        </w:rPr>
        <w:t xml:space="preserve"> Noted that VD statute was very similar to cancellation of removal in that each ties the stop-time </w:t>
      </w:r>
      <w:r w:rsidR="000E714C">
        <w:rPr>
          <w:rFonts w:ascii="Times New Roman" w:hAnsi="Times New Roman" w:cs="Times New Roman"/>
          <w:bCs/>
          <w:sz w:val="24"/>
          <w:szCs w:val="24"/>
        </w:rPr>
        <w:t xml:space="preserve">moment to the issuance of an NTA “under </w:t>
      </w:r>
      <w:r w:rsidR="000E714C">
        <w:rPr>
          <w:rFonts w:ascii="Times New Roman" w:hAnsi="Times New Roman" w:cs="Times New Roman"/>
          <w:b/>
          <w:sz w:val="24"/>
          <w:szCs w:val="24"/>
        </w:rPr>
        <w:t>§239(a)</w:t>
      </w:r>
      <w:r w:rsidR="000E714C">
        <w:rPr>
          <w:rFonts w:ascii="Times New Roman" w:hAnsi="Times New Roman" w:cs="Times New Roman"/>
          <w:bCs/>
          <w:sz w:val="24"/>
          <w:szCs w:val="24"/>
        </w:rPr>
        <w:t>,” which must specify time and place of initial hearing.</w:t>
      </w:r>
      <w:r w:rsidR="00AE0561">
        <w:rPr>
          <w:rFonts w:ascii="Times New Roman" w:hAnsi="Times New Roman" w:cs="Times New Roman"/>
          <w:bCs/>
          <w:sz w:val="24"/>
          <w:szCs w:val="24"/>
        </w:rPr>
        <w:t xml:space="preserve"> (Also said that subsequent Notice of Hearing would cure the defect</w:t>
      </w:r>
      <w:r w:rsidR="00125AA6">
        <w:rPr>
          <w:rFonts w:ascii="Times New Roman" w:hAnsi="Times New Roman" w:cs="Times New Roman"/>
          <w:bCs/>
          <w:sz w:val="24"/>
          <w:szCs w:val="24"/>
        </w:rPr>
        <w:t>ive NTA, but this part is now overruled.)</w:t>
      </w:r>
    </w:p>
    <w:p w14:paraId="64137A5F" w14:textId="33E45D8C" w:rsidR="009E1051" w:rsidRPr="00A57DE3" w:rsidRDefault="009E1051"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L-E-A-</w:t>
      </w:r>
      <w:r w:rsidR="00173E3B">
        <w:rPr>
          <w:rFonts w:ascii="Times New Roman" w:hAnsi="Times New Roman" w:cs="Times New Roman"/>
          <w:b/>
          <w:sz w:val="24"/>
          <w:szCs w:val="24"/>
        </w:rPr>
        <w:t xml:space="preserve"> </w:t>
      </w:r>
      <w:r w:rsidR="00173E3B">
        <w:rPr>
          <w:rFonts w:ascii="Times New Roman" w:hAnsi="Times New Roman" w:cs="Times New Roman"/>
          <w:b/>
          <w:i/>
          <w:iCs/>
          <w:sz w:val="24"/>
          <w:szCs w:val="24"/>
        </w:rPr>
        <w:t>(“L-E-A- I”</w:t>
      </w:r>
      <w:r w:rsidR="00173E3B">
        <w:rPr>
          <w:rFonts w:ascii="Times New Roman" w:hAnsi="Times New Roman" w:cs="Times New Roman"/>
          <w:b/>
          <w:sz w:val="24"/>
          <w:szCs w:val="24"/>
        </w:rPr>
        <w:t>), 27 I&amp;N Dec. 40 (BIA 2017):</w:t>
      </w:r>
      <w:r w:rsidR="00173E3B">
        <w:rPr>
          <w:rFonts w:ascii="Times New Roman" w:hAnsi="Times New Roman" w:cs="Times New Roman"/>
          <w:bCs/>
          <w:sz w:val="24"/>
          <w:szCs w:val="24"/>
        </w:rPr>
        <w:t xml:space="preserve"> </w:t>
      </w:r>
      <w:r w:rsidR="00534BCA">
        <w:rPr>
          <w:rFonts w:ascii="Times New Roman" w:hAnsi="Times New Roman" w:cs="Times New Roman"/>
          <w:bCs/>
          <w:sz w:val="24"/>
          <w:szCs w:val="24"/>
        </w:rPr>
        <w:t>Overruled in part in 2021, but the nexus bit remains good law.</w:t>
      </w:r>
      <w:r w:rsidR="0042369F">
        <w:rPr>
          <w:rFonts w:ascii="Times New Roman" w:hAnsi="Times New Roman" w:cs="Times New Roman"/>
          <w:bCs/>
          <w:sz w:val="24"/>
          <w:szCs w:val="24"/>
        </w:rPr>
        <w:t xml:space="preserve">   412n.6</w:t>
      </w:r>
    </w:p>
    <w:p w14:paraId="5AE587D1" w14:textId="2E8B6D40" w:rsidR="00A57DE3" w:rsidRPr="00A53D48" w:rsidRDefault="00DF674C"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Santos-Ponce v. Wilkinson</w:t>
      </w:r>
      <w:r>
        <w:rPr>
          <w:rFonts w:ascii="Times New Roman" w:hAnsi="Times New Roman" w:cs="Times New Roman"/>
          <w:b/>
          <w:sz w:val="24"/>
          <w:szCs w:val="24"/>
        </w:rPr>
        <w:t xml:space="preserve">, 987 F.3d 886, 890 (9th Cir. 2021): </w:t>
      </w:r>
      <w:r>
        <w:rPr>
          <w:rFonts w:ascii="Times New Roman" w:hAnsi="Times New Roman" w:cs="Times New Roman"/>
          <w:bCs/>
          <w:sz w:val="24"/>
          <w:szCs w:val="24"/>
        </w:rPr>
        <w:t>observing that where “there was no nexus at all,” there is “no distinction between the ‘one central reason’ phrase in the asylum statute and the ‘a reason’ phrase in the withholding statute.”</w:t>
      </w:r>
    </w:p>
    <w:p w14:paraId="35EAF64F" w14:textId="3D7FB64B" w:rsidR="00A53D48" w:rsidRPr="00F25F17" w:rsidRDefault="00483631"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Arambula-Bravo</w:t>
      </w:r>
      <w:r>
        <w:rPr>
          <w:rFonts w:ascii="Times New Roman" w:hAnsi="Times New Roman" w:cs="Times New Roman"/>
          <w:b/>
          <w:sz w:val="24"/>
          <w:szCs w:val="24"/>
        </w:rPr>
        <w:t>, 28 I&amp;N Dec. 388 (BIA 2021):</w:t>
      </w:r>
      <w:r>
        <w:rPr>
          <w:rFonts w:ascii="Times New Roman" w:hAnsi="Times New Roman" w:cs="Times New Roman"/>
          <w:bCs/>
          <w:sz w:val="24"/>
          <w:szCs w:val="24"/>
        </w:rPr>
        <w:t xml:space="preserve"> Defective NTA does not affect IJ’s jurisdiction.</w:t>
      </w:r>
    </w:p>
    <w:p w14:paraId="6781384E" w14:textId="2CDF9E46" w:rsidR="00F25F17" w:rsidRPr="005E296F" w:rsidRDefault="00F25F17"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Pereira v. Sessions</w:t>
      </w:r>
      <w:r>
        <w:rPr>
          <w:rFonts w:ascii="Times New Roman" w:hAnsi="Times New Roman" w:cs="Times New Roman"/>
          <w:b/>
          <w:sz w:val="24"/>
          <w:szCs w:val="24"/>
        </w:rPr>
        <w:t>, 138 S. Ct. 2105 (2018):</w:t>
      </w:r>
      <w:r>
        <w:rPr>
          <w:rFonts w:ascii="Times New Roman" w:hAnsi="Times New Roman" w:cs="Times New Roman"/>
          <w:bCs/>
          <w:sz w:val="24"/>
          <w:szCs w:val="24"/>
        </w:rPr>
        <w:t xml:space="preserve"> </w:t>
      </w:r>
      <w:r w:rsidR="005E296F">
        <w:rPr>
          <w:rFonts w:ascii="Times New Roman" w:hAnsi="Times New Roman" w:cs="Times New Roman"/>
          <w:bCs/>
          <w:sz w:val="24"/>
          <w:szCs w:val="24"/>
        </w:rPr>
        <w:t>Defective NTA does not trigger the stop-time rule for purposes of cancellation of removal.</w:t>
      </w:r>
    </w:p>
    <w:p w14:paraId="19C79FE6" w14:textId="133B9E4C" w:rsidR="005E296F" w:rsidRPr="00EF00C3" w:rsidRDefault="005E296F" w:rsidP="00EF00C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Niz-Chavez v. Garland</w:t>
      </w:r>
      <w:r>
        <w:rPr>
          <w:rFonts w:ascii="Times New Roman" w:hAnsi="Times New Roman" w:cs="Times New Roman"/>
          <w:b/>
          <w:sz w:val="24"/>
          <w:szCs w:val="24"/>
        </w:rPr>
        <w:t xml:space="preserve">, </w:t>
      </w:r>
      <w:r w:rsidR="00E36370">
        <w:rPr>
          <w:rFonts w:ascii="Times New Roman" w:hAnsi="Times New Roman" w:cs="Times New Roman"/>
          <w:b/>
          <w:sz w:val="24"/>
          <w:szCs w:val="24"/>
        </w:rPr>
        <w:t>141 S. Ct. 1474 (2021)</w:t>
      </w:r>
      <w:r w:rsidR="00E36370">
        <w:rPr>
          <w:rFonts w:ascii="Times New Roman" w:hAnsi="Times New Roman" w:cs="Times New Roman"/>
          <w:bCs/>
          <w:sz w:val="24"/>
          <w:szCs w:val="24"/>
        </w:rPr>
        <w:t xml:space="preserve"> Defective NTA is not cured by subsequent Notice of Hearing.</w:t>
      </w:r>
    </w:p>
    <w:p w14:paraId="20453BC7" w14:textId="77777777" w:rsidR="00077658" w:rsidRPr="00936658" w:rsidRDefault="00077658" w:rsidP="00936658">
      <w:pPr>
        <w:spacing w:after="0"/>
        <w:rPr>
          <w:rFonts w:ascii="Times New Roman" w:hAnsi="Times New Roman" w:cs="Times New Roman"/>
          <w:b/>
          <w:sz w:val="24"/>
          <w:szCs w:val="24"/>
        </w:rPr>
      </w:pPr>
    </w:p>
    <w:p w14:paraId="20453BCA" w14:textId="7FCE3910"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25702655" w14:textId="56147DDA" w:rsidR="006312D7" w:rsidRDefault="006312D7" w:rsidP="006312D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Also discusses </w:t>
      </w:r>
      <w:r w:rsidR="009E1051">
        <w:rPr>
          <w:rFonts w:ascii="Times New Roman" w:hAnsi="Times New Roman" w:cs="Times New Roman"/>
          <w:bCs/>
          <w:sz w:val="24"/>
          <w:szCs w:val="24"/>
        </w:rPr>
        <w:t>dismissal of asylum/withholding claim due to lack of nexus</w:t>
      </w:r>
      <w:r w:rsidR="00F70D43">
        <w:rPr>
          <w:rFonts w:ascii="Times New Roman" w:hAnsi="Times New Roman" w:cs="Times New Roman"/>
          <w:bCs/>
          <w:sz w:val="24"/>
          <w:szCs w:val="24"/>
        </w:rPr>
        <w:t xml:space="preserve"> to </w:t>
      </w:r>
      <w:r w:rsidR="00671BE1">
        <w:rPr>
          <w:rFonts w:ascii="Times New Roman" w:hAnsi="Times New Roman" w:cs="Times New Roman"/>
          <w:bCs/>
          <w:sz w:val="24"/>
          <w:szCs w:val="24"/>
        </w:rPr>
        <w:t xml:space="preserve">proposed </w:t>
      </w:r>
      <w:r w:rsidR="00F70D43">
        <w:rPr>
          <w:rFonts w:ascii="Times New Roman" w:hAnsi="Times New Roman" w:cs="Times New Roman"/>
          <w:bCs/>
          <w:sz w:val="24"/>
          <w:szCs w:val="24"/>
        </w:rPr>
        <w:t>PSG</w:t>
      </w:r>
      <w:r w:rsidR="00671BE1">
        <w:rPr>
          <w:rFonts w:ascii="Times New Roman" w:hAnsi="Times New Roman" w:cs="Times New Roman"/>
          <w:bCs/>
          <w:sz w:val="24"/>
          <w:szCs w:val="24"/>
        </w:rPr>
        <w:t xml:space="preserve"> (indigenous Guatemalan youths who have abstained from joining the street gangs)</w:t>
      </w:r>
      <w:r w:rsidR="009E1051">
        <w:rPr>
          <w:rFonts w:ascii="Times New Roman" w:hAnsi="Times New Roman" w:cs="Times New Roman"/>
          <w:bCs/>
          <w:sz w:val="24"/>
          <w:szCs w:val="24"/>
        </w:rPr>
        <w:t>.</w:t>
      </w:r>
    </w:p>
    <w:p w14:paraId="6B2CE8DD" w14:textId="16343758" w:rsidR="00343516" w:rsidRPr="006312D7" w:rsidRDefault="00343516" w:rsidP="006312D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BIA agrees with Ninth Circuit in </w:t>
      </w:r>
      <w:r w:rsidR="00235C78">
        <w:rPr>
          <w:rFonts w:ascii="Times New Roman" w:hAnsi="Times New Roman" w:cs="Times New Roman"/>
          <w:bCs/>
          <w:i/>
          <w:iCs/>
          <w:sz w:val="24"/>
          <w:szCs w:val="24"/>
        </w:rPr>
        <w:t>Posos-Sanchez v. Garland</w:t>
      </w:r>
      <w:r w:rsidR="00235C78">
        <w:rPr>
          <w:rFonts w:ascii="Times New Roman" w:hAnsi="Times New Roman" w:cs="Times New Roman"/>
          <w:bCs/>
          <w:sz w:val="24"/>
          <w:szCs w:val="24"/>
        </w:rPr>
        <w:t>—stop</w:t>
      </w:r>
      <w:r w:rsidR="00E7270E">
        <w:rPr>
          <w:rFonts w:ascii="Times New Roman" w:hAnsi="Times New Roman" w:cs="Times New Roman"/>
          <w:bCs/>
          <w:sz w:val="24"/>
          <w:szCs w:val="24"/>
        </w:rPr>
        <w:t>-</w:t>
      </w:r>
      <w:r w:rsidR="00235C78">
        <w:rPr>
          <w:rFonts w:ascii="Times New Roman" w:hAnsi="Times New Roman" w:cs="Times New Roman"/>
          <w:bCs/>
          <w:sz w:val="24"/>
          <w:szCs w:val="24"/>
        </w:rPr>
        <w:t xml:space="preserve">time rule applies to PCVD statute, too, </w:t>
      </w:r>
      <w:r w:rsidR="000B0457">
        <w:rPr>
          <w:rFonts w:ascii="Times New Roman" w:hAnsi="Times New Roman" w:cs="Times New Roman"/>
          <w:bCs/>
          <w:sz w:val="24"/>
          <w:szCs w:val="24"/>
        </w:rPr>
        <w:t xml:space="preserve">which is also connected with the rule about what NTAs have to include. So a defective NTA does not stop the time on accrual of physical presence for purposes of the PCVD, and after </w:t>
      </w:r>
      <w:r w:rsidR="000B0457">
        <w:rPr>
          <w:rFonts w:ascii="Times New Roman" w:hAnsi="Times New Roman" w:cs="Times New Roman"/>
          <w:bCs/>
          <w:i/>
          <w:iCs/>
          <w:sz w:val="24"/>
          <w:szCs w:val="24"/>
        </w:rPr>
        <w:t>Niz-Chavez</w:t>
      </w:r>
      <w:r w:rsidR="000B0457">
        <w:rPr>
          <w:rFonts w:ascii="Times New Roman" w:hAnsi="Times New Roman" w:cs="Times New Roman"/>
          <w:bCs/>
          <w:sz w:val="24"/>
          <w:szCs w:val="24"/>
        </w:rPr>
        <w:t xml:space="preserve"> a subsequent Notice of Hearing cannot cure a defective NTA.</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0FFF56F4"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Commentary:</w:t>
      </w:r>
    </w:p>
    <w:p w14:paraId="6DF73E42" w14:textId="53B70266" w:rsidR="004D0470" w:rsidRPr="00AD0911" w:rsidRDefault="004D0470" w:rsidP="004D047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§240B(b</w:t>
      </w:r>
      <w:r w:rsidRPr="00F57433">
        <w:rPr>
          <w:rFonts w:ascii="Times New Roman" w:hAnsi="Times New Roman" w:cs="Times New Roman"/>
          <w:b/>
          <w:sz w:val="24"/>
          <w:szCs w:val="24"/>
        </w:rPr>
        <w:t>): Post</w:t>
      </w:r>
      <w:r w:rsidRPr="00F57433">
        <w:rPr>
          <w:rFonts w:ascii="Times New Roman" w:hAnsi="Times New Roman" w:cs="Times New Roman"/>
          <w:b/>
          <w:sz w:val="24"/>
          <w:szCs w:val="24"/>
        </w:rPr>
        <w:t>-Conclusion Voluntary Departure</w:t>
      </w:r>
    </w:p>
    <w:p w14:paraId="2EE3F147" w14:textId="3D24BA67" w:rsidR="00AD0911" w:rsidRPr="004B316C" w:rsidRDefault="00F57433" w:rsidP="00AD0911">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Physically present in U.S. for a period of time of at least one year immediately preceding the date the notice to appear was served.</w:t>
      </w:r>
    </w:p>
    <w:p w14:paraId="450FDC4E" w14:textId="1F453EC2" w:rsidR="004B316C" w:rsidRPr="00EF00C3" w:rsidRDefault="004B316C" w:rsidP="00AD0911">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The NTA has to be according to </w:t>
      </w:r>
      <w:r>
        <w:rPr>
          <w:rFonts w:ascii="Times New Roman" w:hAnsi="Times New Roman" w:cs="Times New Roman"/>
          <w:b/>
          <w:sz w:val="24"/>
          <w:szCs w:val="24"/>
        </w:rPr>
        <w:t>§</w:t>
      </w:r>
      <w:r>
        <w:rPr>
          <w:rFonts w:ascii="Times New Roman" w:hAnsi="Times New Roman" w:cs="Times New Roman"/>
          <w:b/>
          <w:sz w:val="24"/>
          <w:szCs w:val="24"/>
        </w:rPr>
        <w:t>239(a</w:t>
      </w:r>
      <w:r w:rsidR="00C51D6D">
        <w:rPr>
          <w:rFonts w:ascii="Times New Roman" w:hAnsi="Times New Roman" w:cs="Times New Roman"/>
          <w:b/>
          <w:sz w:val="24"/>
          <w:szCs w:val="24"/>
        </w:rPr>
        <w:t>)</w:t>
      </w:r>
      <w:r w:rsidR="00C51D6D">
        <w:rPr>
          <w:rFonts w:ascii="Times New Roman" w:hAnsi="Times New Roman" w:cs="Times New Roman"/>
          <w:bCs/>
          <w:sz w:val="24"/>
          <w:szCs w:val="24"/>
        </w:rPr>
        <w:t>—must specify the time and place at which the initial removal proceeding will be held.</w:t>
      </w:r>
    </w:p>
    <w:p w14:paraId="51B77946" w14:textId="411C55A6" w:rsidR="004D0470" w:rsidRPr="00936658" w:rsidRDefault="004D0470" w:rsidP="00936658">
      <w:pPr>
        <w:spacing w:after="0"/>
        <w:rPr>
          <w:rFonts w:ascii="Times New Roman" w:hAnsi="Times New Roman" w:cs="Times New Roman"/>
          <w:b/>
          <w:sz w:val="24"/>
          <w:szCs w:val="24"/>
        </w:rPr>
      </w:pPr>
    </w:p>
    <w:sectPr w:rsidR="004D0470" w:rsidRPr="00936658"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61EE6" w14:textId="77777777" w:rsidR="005E2E30" w:rsidRDefault="005E2E30" w:rsidP="00077658">
      <w:pPr>
        <w:spacing w:after="0" w:line="240" w:lineRule="auto"/>
      </w:pPr>
      <w:r>
        <w:separator/>
      </w:r>
    </w:p>
  </w:endnote>
  <w:endnote w:type="continuationSeparator" w:id="0">
    <w:p w14:paraId="7B9484A0" w14:textId="77777777" w:rsidR="005E2E30" w:rsidRDefault="005E2E30"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9B943" w14:textId="77777777" w:rsidR="005E2E30" w:rsidRDefault="005E2E30" w:rsidP="00077658">
      <w:pPr>
        <w:spacing w:after="0" w:line="240" w:lineRule="auto"/>
      </w:pPr>
      <w:r>
        <w:separator/>
      </w:r>
    </w:p>
  </w:footnote>
  <w:footnote w:type="continuationSeparator" w:id="0">
    <w:p w14:paraId="6F9510C1" w14:textId="77777777" w:rsidR="005E2E30" w:rsidRDefault="005E2E30"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0F033086" w:rsidR="00077658" w:rsidRDefault="00886489">
    <w:pPr>
      <w:pStyle w:val="Header"/>
    </w:pPr>
    <w:r>
      <w:t>BIA</w:t>
    </w:r>
    <w:r w:rsidR="00077658">
      <w:ptab w:relativeTo="margin" w:alignment="center" w:leader="none"/>
    </w:r>
    <w:r w:rsidR="00D87D06">
      <w:t>2021</w:t>
    </w:r>
    <w:r w:rsidR="00077658">
      <w:ptab w:relativeTo="margin" w:alignment="right" w:leader="none"/>
    </w:r>
    <w:r w:rsidR="00D87D06">
      <w:t>Matter of M-F-O-</w:t>
    </w:r>
  </w:p>
  <w:p w14:paraId="20453BD2" w14:textId="242DEB57" w:rsidR="00077658" w:rsidRDefault="00D87D06" w:rsidP="00077658">
    <w:pPr>
      <w:pStyle w:val="Header"/>
      <w:jc w:val="right"/>
    </w:pPr>
    <w:r>
      <w:t>VOLUNTARY DEPARTURE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A33A20"/>
    <w:multiLevelType w:val="hybridMultilevel"/>
    <w:tmpl w:val="677C6EB8"/>
    <w:lvl w:ilvl="0" w:tplc="7B223338">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FF02D0"/>
    <w:multiLevelType w:val="hybridMultilevel"/>
    <w:tmpl w:val="EC36977C"/>
    <w:lvl w:ilvl="0" w:tplc="2460F79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0B0400"/>
    <w:multiLevelType w:val="hybridMultilevel"/>
    <w:tmpl w:val="DECA6800"/>
    <w:lvl w:ilvl="0" w:tplc="83FE470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12E1C"/>
    <w:rsid w:val="00077658"/>
    <w:rsid w:val="000A6D6C"/>
    <w:rsid w:val="000B0457"/>
    <w:rsid w:val="000E714C"/>
    <w:rsid w:val="00125AA6"/>
    <w:rsid w:val="00173E3B"/>
    <w:rsid w:val="00190A0A"/>
    <w:rsid w:val="001F4ABD"/>
    <w:rsid w:val="00235C78"/>
    <w:rsid w:val="0024324E"/>
    <w:rsid w:val="003251E1"/>
    <w:rsid w:val="00343516"/>
    <w:rsid w:val="00395B75"/>
    <w:rsid w:val="003A6744"/>
    <w:rsid w:val="003C404F"/>
    <w:rsid w:val="00401CDA"/>
    <w:rsid w:val="00414A71"/>
    <w:rsid w:val="0042369F"/>
    <w:rsid w:val="00483631"/>
    <w:rsid w:val="004B316C"/>
    <w:rsid w:val="004D0470"/>
    <w:rsid w:val="00534BCA"/>
    <w:rsid w:val="00591048"/>
    <w:rsid w:val="005E296F"/>
    <w:rsid w:val="005E2E30"/>
    <w:rsid w:val="006312D7"/>
    <w:rsid w:val="00642473"/>
    <w:rsid w:val="00651C92"/>
    <w:rsid w:val="00671BE1"/>
    <w:rsid w:val="006A2F2A"/>
    <w:rsid w:val="00724073"/>
    <w:rsid w:val="007D48D7"/>
    <w:rsid w:val="007E5AB8"/>
    <w:rsid w:val="00886489"/>
    <w:rsid w:val="00903A91"/>
    <w:rsid w:val="00936658"/>
    <w:rsid w:val="00981FEE"/>
    <w:rsid w:val="009E1051"/>
    <w:rsid w:val="00A1429E"/>
    <w:rsid w:val="00A53D48"/>
    <w:rsid w:val="00A57DE3"/>
    <w:rsid w:val="00AC22C6"/>
    <w:rsid w:val="00AD0911"/>
    <w:rsid w:val="00AE0561"/>
    <w:rsid w:val="00AE734E"/>
    <w:rsid w:val="00B13A5E"/>
    <w:rsid w:val="00B57716"/>
    <w:rsid w:val="00B61D30"/>
    <w:rsid w:val="00BA0151"/>
    <w:rsid w:val="00BA3E92"/>
    <w:rsid w:val="00C24E0A"/>
    <w:rsid w:val="00C51D6D"/>
    <w:rsid w:val="00CE349F"/>
    <w:rsid w:val="00CE41B9"/>
    <w:rsid w:val="00D87D06"/>
    <w:rsid w:val="00D9741E"/>
    <w:rsid w:val="00DA4926"/>
    <w:rsid w:val="00DE7A26"/>
    <w:rsid w:val="00DF674C"/>
    <w:rsid w:val="00E36370"/>
    <w:rsid w:val="00E63A07"/>
    <w:rsid w:val="00E7270E"/>
    <w:rsid w:val="00EF00C3"/>
    <w:rsid w:val="00F059CB"/>
    <w:rsid w:val="00F25F17"/>
    <w:rsid w:val="00F57433"/>
    <w:rsid w:val="00F57981"/>
    <w:rsid w:val="00F70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EF00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709</Words>
  <Characters>4044</Characters>
  <Application>Microsoft Office Word</Application>
  <DocSecurity>0</DocSecurity>
  <Lines>33</Lines>
  <Paragraphs>9</Paragraphs>
  <ScaleCrop>false</ScaleCrop>
  <Company>Hewlett-Packard Company</Company>
  <LinksUpToDate>false</LinksUpToDate>
  <CharactersWithSpaces>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2021-11-06T16:28:00Z</dcterms:created>
  <dcterms:modified xsi:type="dcterms:W3CDTF">2021-11-06T16:28:00Z</dcterms:modified>
</cp:coreProperties>
</file>