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2CF63A1F"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5A36D5">
        <w:rPr>
          <w:rFonts w:ascii="Times New Roman" w:hAnsi="Times New Roman" w:cs="Times New Roman"/>
          <w:b/>
          <w:sz w:val="24"/>
          <w:szCs w:val="24"/>
        </w:rPr>
        <w:t xml:space="preserve"> BIA</w:t>
      </w:r>
    </w:p>
    <w:p w14:paraId="38FFCD6B" w14:textId="77777777" w:rsidR="00F21430" w:rsidRDefault="00F21430" w:rsidP="00936658">
      <w:pPr>
        <w:spacing w:after="0"/>
        <w:rPr>
          <w:rFonts w:ascii="Times New Roman" w:hAnsi="Times New Roman" w:cs="Times New Roman"/>
          <w:b/>
          <w:sz w:val="24"/>
          <w:szCs w:val="24"/>
        </w:rPr>
      </w:pPr>
    </w:p>
    <w:p w14:paraId="20453BB8" w14:textId="1AEB2867" w:rsidR="00077658" w:rsidRPr="00E674F9"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5A36D5">
        <w:rPr>
          <w:rFonts w:ascii="Times New Roman" w:hAnsi="Times New Roman" w:cs="Times New Roman"/>
          <w:bCs/>
          <w:i/>
          <w:iCs/>
          <w:sz w:val="24"/>
          <w:szCs w:val="24"/>
        </w:rPr>
        <w:t>Matter of Rainford</w:t>
      </w:r>
      <w:r w:rsidR="005A36D5">
        <w:rPr>
          <w:rFonts w:ascii="Times New Roman" w:hAnsi="Times New Roman" w:cs="Times New Roman"/>
          <w:bCs/>
          <w:sz w:val="24"/>
          <w:szCs w:val="24"/>
        </w:rPr>
        <w:t xml:space="preserve">, </w:t>
      </w:r>
      <w:r w:rsidR="00F21430">
        <w:rPr>
          <w:rFonts w:ascii="Times New Roman" w:hAnsi="Times New Roman" w:cs="Times New Roman"/>
          <w:bCs/>
          <w:sz w:val="24"/>
          <w:szCs w:val="24"/>
        </w:rPr>
        <w:t>20 I&amp;N Dec. 598 (BIA 1992)</w:t>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E674F9">
        <w:rPr>
          <w:rFonts w:ascii="Times New Roman" w:hAnsi="Times New Roman" w:cs="Times New Roman"/>
          <w:bCs/>
          <w:sz w:val="24"/>
          <w:szCs w:val="24"/>
        </w:rPr>
        <w:t xml:space="preserve"> Sept. 9, 1992</w:t>
      </w:r>
    </w:p>
    <w:p w14:paraId="0A4357EB" w14:textId="77777777" w:rsidR="009B09E3" w:rsidRDefault="009B09E3" w:rsidP="00936658">
      <w:pPr>
        <w:spacing w:after="0"/>
        <w:rPr>
          <w:rFonts w:ascii="Times New Roman" w:hAnsi="Times New Roman" w:cs="Times New Roman"/>
          <w:b/>
          <w:sz w:val="24"/>
          <w:szCs w:val="24"/>
        </w:rPr>
      </w:pPr>
    </w:p>
    <w:p w14:paraId="20453BBA" w14:textId="1279A5F3" w:rsidR="00077658" w:rsidRPr="00FD53FC"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E674F9">
        <w:rPr>
          <w:rFonts w:ascii="Times New Roman" w:hAnsi="Times New Roman" w:cs="Times New Roman"/>
          <w:bCs/>
          <w:sz w:val="24"/>
          <w:szCs w:val="24"/>
        </w:rPr>
        <w:t xml:space="preserve"> Milhollan, Dunne, Morris, Vacca, Heilman</w:t>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FD53FC">
        <w:rPr>
          <w:rFonts w:ascii="Times New Roman" w:hAnsi="Times New Roman" w:cs="Times New Roman"/>
          <w:bCs/>
          <w:sz w:val="24"/>
          <w:szCs w:val="24"/>
        </w:rPr>
        <w:t xml:space="preserve"> </w:t>
      </w:r>
      <w:r w:rsidR="00FD53FC">
        <w:rPr>
          <w:rFonts w:ascii="Times New Roman" w:hAnsi="Times New Roman" w:cs="Times New Roman"/>
          <w:bCs/>
          <w:i/>
          <w:iCs/>
          <w:sz w:val="24"/>
          <w:szCs w:val="24"/>
        </w:rPr>
        <w:t>per curiam?</w:t>
      </w:r>
    </w:p>
    <w:p w14:paraId="33633F9D" w14:textId="77777777" w:rsidR="00FD53FC" w:rsidRDefault="00FD53FC" w:rsidP="00936658">
      <w:pPr>
        <w:spacing w:after="0"/>
        <w:rPr>
          <w:rFonts w:ascii="Times New Roman" w:hAnsi="Times New Roman" w:cs="Times New Roman"/>
          <w:b/>
          <w:sz w:val="24"/>
          <w:szCs w:val="24"/>
        </w:rPr>
      </w:pPr>
    </w:p>
    <w:p w14:paraId="20453BBB" w14:textId="789EB274"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FD53FC">
        <w:rPr>
          <w:rFonts w:ascii="Times New Roman" w:hAnsi="Times New Roman" w:cs="Times New Roman"/>
          <w:bCs/>
          <w:sz w:val="24"/>
          <w:szCs w:val="24"/>
        </w:rPr>
        <w:t xml:space="preserve"> Removal, relief, AOS, </w:t>
      </w:r>
      <w:r w:rsidR="003B48F2">
        <w:rPr>
          <w:rFonts w:ascii="Times New Roman" w:hAnsi="Times New Roman" w:cs="Times New Roman"/>
          <w:bCs/>
          <w:sz w:val="24"/>
          <w:szCs w:val="24"/>
        </w:rPr>
        <w:t xml:space="preserve">inadmissibility, deportability, </w:t>
      </w:r>
      <w:r w:rsidR="008108A0">
        <w:rPr>
          <w:rFonts w:ascii="Times New Roman" w:hAnsi="Times New Roman" w:cs="Times New Roman"/>
          <w:bCs/>
          <w:sz w:val="24"/>
          <w:szCs w:val="24"/>
        </w:rPr>
        <w:t xml:space="preserve">criminal possession of weapon, </w:t>
      </w:r>
    </w:p>
    <w:p w14:paraId="60569E72" w14:textId="77777777" w:rsidR="00FD53FC" w:rsidRPr="00FD53FC" w:rsidRDefault="00FD53FC" w:rsidP="00936658">
      <w:pPr>
        <w:spacing w:after="0"/>
        <w:rPr>
          <w:rFonts w:ascii="Times New Roman" w:hAnsi="Times New Roman" w:cs="Times New Roman"/>
          <w:bCs/>
          <w:sz w:val="24"/>
          <w:szCs w:val="24"/>
        </w:rPr>
      </w:pPr>
    </w:p>
    <w:p w14:paraId="20453BBC" w14:textId="263FC5E1" w:rsidR="00077658" w:rsidRPr="00E421A6"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E421A6">
        <w:rPr>
          <w:rFonts w:ascii="Times New Roman" w:hAnsi="Times New Roman" w:cs="Times New Roman"/>
          <w:bCs/>
          <w:sz w:val="24"/>
          <w:szCs w:val="24"/>
        </w:rPr>
        <w:t xml:space="preserve"> Will a deportable offense cause an immediate removal problem for a noncitizen who adjusts status in court</w:t>
      </w:r>
      <w:r w:rsidR="00E71766">
        <w:rPr>
          <w:rFonts w:ascii="Times New Roman" w:hAnsi="Times New Roman" w:cs="Times New Roman"/>
          <w:bCs/>
          <w:sz w:val="24"/>
          <w:szCs w:val="24"/>
        </w:rPr>
        <w:t xml:space="preserve"> as a form of relief from removal?</w:t>
      </w:r>
      <w:r w:rsidR="00DB122A">
        <w:rPr>
          <w:rFonts w:ascii="Times New Roman" w:hAnsi="Times New Roman" w:cs="Times New Roman"/>
          <w:bCs/>
          <w:sz w:val="24"/>
          <w:szCs w:val="24"/>
        </w:rPr>
        <w:t xml:space="preserve"> (“futility doctrine”)</w:t>
      </w:r>
    </w:p>
    <w:p w14:paraId="20453BBD" w14:textId="77777777" w:rsidR="00077658" w:rsidRPr="00936658" w:rsidRDefault="00077658" w:rsidP="00936658">
      <w:pPr>
        <w:spacing w:after="0"/>
        <w:rPr>
          <w:rFonts w:ascii="Times New Roman" w:hAnsi="Times New Roman" w:cs="Times New Roman"/>
          <w:b/>
          <w:sz w:val="24"/>
          <w:szCs w:val="24"/>
        </w:rPr>
      </w:pPr>
    </w:p>
    <w:p w14:paraId="3F328079" w14:textId="7E610C13" w:rsidR="00FE6BDF"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E71766">
        <w:rPr>
          <w:rFonts w:ascii="Times New Roman" w:hAnsi="Times New Roman" w:cs="Times New Roman"/>
          <w:bCs/>
          <w:sz w:val="24"/>
          <w:szCs w:val="24"/>
        </w:rPr>
        <w:t xml:space="preserve"> No, that’s silly.</w:t>
      </w:r>
      <w:r w:rsidR="00145948">
        <w:rPr>
          <w:rFonts w:ascii="Times New Roman" w:hAnsi="Times New Roman" w:cs="Times New Roman"/>
          <w:bCs/>
          <w:sz w:val="24"/>
          <w:szCs w:val="24"/>
        </w:rPr>
        <w:t xml:space="preserve"> A previous deportable offense won’t </w:t>
      </w:r>
      <w:r w:rsidR="00FE6BDF">
        <w:rPr>
          <w:rFonts w:ascii="Times New Roman" w:hAnsi="Times New Roman" w:cs="Times New Roman"/>
          <w:bCs/>
          <w:sz w:val="24"/>
          <w:szCs w:val="24"/>
        </w:rPr>
        <w:t>immediately kick in removal proceedings when someone adjusts status.</w:t>
      </w:r>
    </w:p>
    <w:p w14:paraId="6C1926CA" w14:textId="102D290D" w:rsidR="00F36A1F" w:rsidRPr="00F36A1F" w:rsidRDefault="00F36A1F" w:rsidP="00F36A1F">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“We hold that the conviction which renders the respondent deportable . . . will not preclude a showing of admissibility for purposes of section 245(a) and that if granted adjustment of status to LPR, the respondent will no longer be deportable on the basis of this prior conviction.”</w:t>
      </w:r>
      <w:r>
        <w:rPr>
          <w:rFonts w:ascii="Times New Roman" w:hAnsi="Times New Roman" w:cs="Times New Roman"/>
          <w:bCs/>
          <w:sz w:val="24"/>
          <w:szCs w:val="24"/>
        </w:rPr>
        <w:tab/>
        <w:t>602</w:t>
      </w:r>
    </w:p>
    <w:p w14:paraId="20453BBE" w14:textId="49A17AF5" w:rsidR="00077658" w:rsidRPr="00FE6BDF" w:rsidRDefault="00FE6BDF" w:rsidP="00FE6BDF">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Also: you can re-do your I-130 and AOS </w:t>
      </w:r>
      <w:r w:rsidR="005B7C1B">
        <w:rPr>
          <w:rFonts w:ascii="Times New Roman" w:hAnsi="Times New Roman" w:cs="Times New Roman"/>
          <w:bCs/>
          <w:sz w:val="24"/>
          <w:szCs w:val="24"/>
        </w:rPr>
        <w:t>if you’re an LPR convicted of a removable offense.</w:t>
      </w:r>
      <w:r w:rsidR="00E71766" w:rsidRPr="00FE6BDF">
        <w:rPr>
          <w:rFonts w:ascii="Times New Roman" w:hAnsi="Times New Roman" w:cs="Times New Roman"/>
          <w:bCs/>
          <w:sz w:val="24"/>
          <w:szCs w:val="24"/>
        </w:rPr>
        <w:t xml:space="preserve"> </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13F3DD55" w:rsidR="00077658" w:rsidRPr="0014594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145948">
        <w:rPr>
          <w:rFonts w:ascii="Times New Roman" w:hAnsi="Times New Roman" w:cs="Times New Roman"/>
          <w:bCs/>
          <w:sz w:val="24"/>
          <w:szCs w:val="24"/>
        </w:rPr>
        <w:t xml:space="preserve"> </w:t>
      </w:r>
      <w:r w:rsidR="00145948">
        <w:rPr>
          <w:rFonts w:ascii="Times New Roman" w:hAnsi="Times New Roman" w:cs="Times New Roman"/>
          <w:bCs/>
          <w:sz w:val="24"/>
          <w:szCs w:val="24"/>
        </w:rPr>
        <w:t>The statute doesn’t require respondents to defend against BOTH inadmissibility and deportation challenges when adjusting status (just the inadmissibility ones).</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2D5045EF" w:rsidR="00077658" w:rsidRPr="00F45D65"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F45D65">
        <w:rPr>
          <w:rFonts w:ascii="Times New Roman" w:hAnsi="Times New Roman" w:cs="Times New Roman"/>
          <w:bCs/>
          <w:sz w:val="24"/>
          <w:szCs w:val="24"/>
        </w:rPr>
        <w:t xml:space="preserve"> (598-99) Citizen of Jamaica admitted in 1988 as LPR. Convicted in NY in 1991 of criminal possession of a weapon in the third degree, sentenced 1 year. This is an aggravated felony, so removable.</w:t>
      </w:r>
      <w:r w:rsidR="0077478D">
        <w:rPr>
          <w:rFonts w:ascii="Times New Roman" w:hAnsi="Times New Roman" w:cs="Times New Roman"/>
          <w:bCs/>
          <w:sz w:val="24"/>
          <w:szCs w:val="24"/>
        </w:rPr>
        <w:t xml:space="preserve"> </w:t>
      </w:r>
      <w:r w:rsidR="007A69AF">
        <w:rPr>
          <w:rFonts w:ascii="Times New Roman" w:hAnsi="Times New Roman" w:cs="Times New Roman"/>
          <w:bCs/>
          <w:sz w:val="24"/>
          <w:szCs w:val="24"/>
        </w:rPr>
        <w:t xml:space="preserve">But tried to adjust status in court via his USC father’s I-130 petition.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77D334B6"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7C9A109E" w14:textId="7BE3161C" w:rsidR="00A660D1" w:rsidRPr="00A660D1" w:rsidRDefault="00A660D1" w:rsidP="00A660D1">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IJ:</w:t>
      </w:r>
      <w:r>
        <w:rPr>
          <w:rFonts w:ascii="Times New Roman" w:hAnsi="Times New Roman" w:cs="Times New Roman"/>
          <w:bCs/>
          <w:sz w:val="24"/>
          <w:szCs w:val="24"/>
        </w:rPr>
        <w:t xml:space="preserve"> </w:t>
      </w:r>
      <w:r w:rsidR="00BA2E6F">
        <w:rPr>
          <w:rFonts w:ascii="Times New Roman" w:hAnsi="Times New Roman" w:cs="Times New Roman"/>
          <w:bCs/>
          <w:sz w:val="24"/>
          <w:szCs w:val="24"/>
        </w:rPr>
        <w:t xml:space="preserve">determined there was no relief available, because although respondent was </w:t>
      </w:r>
      <w:r w:rsidR="00BA2E6F">
        <w:rPr>
          <w:rFonts w:ascii="Times New Roman" w:hAnsi="Times New Roman" w:cs="Times New Roman"/>
          <w:bCs/>
          <w:i/>
          <w:iCs/>
          <w:sz w:val="24"/>
          <w:szCs w:val="24"/>
        </w:rPr>
        <w:t>admissible</w:t>
      </w:r>
      <w:r w:rsidR="00BA2E6F">
        <w:rPr>
          <w:rFonts w:ascii="Times New Roman" w:hAnsi="Times New Roman" w:cs="Times New Roman"/>
          <w:bCs/>
          <w:sz w:val="24"/>
          <w:szCs w:val="24"/>
        </w:rPr>
        <w:t xml:space="preserve">, he was also </w:t>
      </w:r>
      <w:r w:rsidR="00BA2E6F">
        <w:rPr>
          <w:rFonts w:ascii="Times New Roman" w:hAnsi="Times New Roman" w:cs="Times New Roman"/>
          <w:bCs/>
          <w:i/>
          <w:iCs/>
          <w:sz w:val="24"/>
          <w:szCs w:val="24"/>
        </w:rPr>
        <w:t>deportable</w:t>
      </w:r>
      <w:r w:rsidR="00BA2E6F">
        <w:rPr>
          <w:rFonts w:ascii="Times New Roman" w:hAnsi="Times New Roman" w:cs="Times New Roman"/>
          <w:bCs/>
          <w:sz w:val="24"/>
          <w:szCs w:val="24"/>
        </w:rPr>
        <w:t xml:space="preserve"> </w:t>
      </w:r>
      <w:r w:rsidR="00A02B07">
        <w:rPr>
          <w:rFonts w:ascii="Times New Roman" w:hAnsi="Times New Roman" w:cs="Times New Roman"/>
          <w:bCs/>
          <w:sz w:val="24"/>
          <w:szCs w:val="24"/>
        </w:rPr>
        <w:t xml:space="preserve">immediately upon admission, per </w:t>
      </w:r>
      <w:r w:rsidR="00A02B07">
        <w:rPr>
          <w:rFonts w:ascii="Times New Roman" w:hAnsi="Times New Roman" w:cs="Times New Roman"/>
          <w:bCs/>
          <w:i/>
          <w:iCs/>
          <w:sz w:val="24"/>
          <w:szCs w:val="24"/>
        </w:rPr>
        <w:t>Matter of V-</w:t>
      </w:r>
      <w:r w:rsidR="00A02B07">
        <w:rPr>
          <w:rFonts w:ascii="Times New Roman" w:hAnsi="Times New Roman" w:cs="Times New Roman"/>
          <w:bCs/>
          <w:sz w:val="24"/>
          <w:szCs w:val="24"/>
        </w:rPr>
        <w:t>, 1 I&amp;N Dec. 293 (BIA 1942)</w:t>
      </w:r>
      <w:r w:rsidR="00B04C9D">
        <w:rPr>
          <w:rFonts w:ascii="Times New Roman" w:hAnsi="Times New Roman" w:cs="Times New Roman"/>
          <w:bCs/>
          <w:sz w:val="24"/>
          <w:szCs w:val="24"/>
        </w:rPr>
        <w:t xml:space="preserve">, because that would save time administratively. </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51D436D1"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5547D980" w14:textId="0E29AD3A" w:rsidR="00B04C9D" w:rsidRPr="00EC139C" w:rsidRDefault="00B04C9D" w:rsidP="00B04C9D">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V-</w:t>
      </w:r>
      <w:r>
        <w:rPr>
          <w:rFonts w:ascii="Times New Roman" w:hAnsi="Times New Roman" w:cs="Times New Roman"/>
          <w:b/>
          <w:sz w:val="24"/>
          <w:szCs w:val="24"/>
        </w:rPr>
        <w:t>, 1 I&amp;N Dec. 293 (BIA 1942)</w:t>
      </w:r>
      <w:r w:rsidR="00F01663">
        <w:rPr>
          <w:rFonts w:ascii="Times New Roman" w:hAnsi="Times New Roman" w:cs="Times New Roman"/>
          <w:b/>
          <w:sz w:val="24"/>
          <w:szCs w:val="24"/>
        </w:rPr>
        <w:t xml:space="preserve">: </w:t>
      </w:r>
      <w:r w:rsidR="00B627F1">
        <w:rPr>
          <w:rFonts w:ascii="Times New Roman" w:hAnsi="Times New Roman" w:cs="Times New Roman"/>
          <w:bCs/>
          <w:sz w:val="24"/>
          <w:szCs w:val="24"/>
        </w:rPr>
        <w:t>(distinguished) “futility doctrine”—don’t admit/adjust a</w:t>
      </w:r>
      <w:r w:rsidR="001F2C86">
        <w:rPr>
          <w:rFonts w:ascii="Times New Roman" w:hAnsi="Times New Roman" w:cs="Times New Roman"/>
          <w:bCs/>
          <w:sz w:val="24"/>
          <w:szCs w:val="24"/>
        </w:rPr>
        <w:t>n admissible</w:t>
      </w:r>
      <w:r w:rsidR="00B627F1">
        <w:rPr>
          <w:rFonts w:ascii="Times New Roman" w:hAnsi="Times New Roman" w:cs="Times New Roman"/>
          <w:bCs/>
          <w:sz w:val="24"/>
          <w:szCs w:val="24"/>
        </w:rPr>
        <w:t xml:space="preserve"> respondent who’s immediately going to be removable for an offense.</w:t>
      </w:r>
    </w:p>
    <w:p w14:paraId="04230440" w14:textId="3DB10C75" w:rsidR="00B271D5" w:rsidRPr="00B271D5" w:rsidRDefault="00EC139C" w:rsidP="00B271D5">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Rafipour</w:t>
      </w:r>
      <w:r>
        <w:rPr>
          <w:rFonts w:ascii="Times New Roman" w:hAnsi="Times New Roman" w:cs="Times New Roman"/>
          <w:b/>
          <w:sz w:val="24"/>
          <w:szCs w:val="24"/>
        </w:rPr>
        <w:t>, 16 I&amp;N Dec. 470 (BIA 1978):</w:t>
      </w:r>
      <w:r>
        <w:rPr>
          <w:rFonts w:ascii="Times New Roman" w:hAnsi="Times New Roman" w:cs="Times New Roman"/>
          <w:bCs/>
          <w:sz w:val="24"/>
          <w:szCs w:val="24"/>
        </w:rPr>
        <w:t xml:space="preserve"> </w:t>
      </w:r>
      <w:r w:rsidR="00434DCC">
        <w:rPr>
          <w:rFonts w:ascii="Times New Roman" w:hAnsi="Times New Roman" w:cs="Times New Roman"/>
          <w:bCs/>
          <w:sz w:val="24"/>
          <w:szCs w:val="24"/>
        </w:rPr>
        <w:t>AOS case</w:t>
      </w:r>
      <w:r w:rsidR="008156EC">
        <w:rPr>
          <w:rFonts w:ascii="Times New Roman" w:hAnsi="Times New Roman" w:cs="Times New Roman"/>
          <w:bCs/>
          <w:sz w:val="24"/>
          <w:szCs w:val="24"/>
        </w:rPr>
        <w:t>: alien would not automatically become deportable because of a prior act if he were admitted as LPR.</w:t>
      </w:r>
    </w:p>
    <w:p w14:paraId="4C37BC3F" w14:textId="56A15A2C" w:rsidR="00B271D5" w:rsidRPr="00B271D5" w:rsidRDefault="00B271D5" w:rsidP="00B271D5">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R-G-</w:t>
      </w:r>
      <w:r>
        <w:rPr>
          <w:rFonts w:ascii="Times New Roman" w:hAnsi="Times New Roman" w:cs="Times New Roman"/>
          <w:b/>
          <w:sz w:val="24"/>
          <w:szCs w:val="24"/>
        </w:rPr>
        <w:t xml:space="preserve">, </w:t>
      </w:r>
      <w:r w:rsidR="0094231B">
        <w:rPr>
          <w:rFonts w:ascii="Times New Roman" w:hAnsi="Times New Roman" w:cs="Times New Roman"/>
          <w:b/>
          <w:sz w:val="24"/>
          <w:szCs w:val="24"/>
        </w:rPr>
        <w:t>8 I&amp;N Dec. 128 (BIA 1958):</w:t>
      </w:r>
      <w:r w:rsidR="0094231B">
        <w:rPr>
          <w:rFonts w:ascii="Times New Roman" w:hAnsi="Times New Roman" w:cs="Times New Roman"/>
          <w:bCs/>
          <w:sz w:val="24"/>
          <w:szCs w:val="24"/>
        </w:rPr>
        <w:t xml:space="preserve"> AOS case: alien will no longer be deportable for an earlier conviction once admitted as an LPR.</w:t>
      </w:r>
    </w:p>
    <w:p w14:paraId="20453BC7" w14:textId="77777777" w:rsidR="00077658" w:rsidRPr="00936658" w:rsidRDefault="00077658" w:rsidP="00936658">
      <w:pPr>
        <w:spacing w:after="0"/>
        <w:rPr>
          <w:rFonts w:ascii="Times New Roman" w:hAnsi="Times New Roman" w:cs="Times New Roman"/>
          <w:b/>
          <w:sz w:val="24"/>
          <w:szCs w:val="24"/>
        </w:rPr>
      </w:pPr>
    </w:p>
    <w:p w14:paraId="20453BC8" w14:textId="28C269BF"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Relevant U.S. History:</w:t>
      </w:r>
    </w:p>
    <w:p w14:paraId="455F94DC" w14:textId="70C74E4C" w:rsidR="0077478D" w:rsidRPr="00541E6D" w:rsidRDefault="0077478D" w:rsidP="0077478D">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Pre-1996 INA:</w:t>
      </w:r>
      <w:r>
        <w:rPr>
          <w:rFonts w:ascii="Times New Roman" w:hAnsi="Times New Roman" w:cs="Times New Roman"/>
          <w:bCs/>
          <w:sz w:val="24"/>
          <w:szCs w:val="24"/>
        </w:rPr>
        <w:t xml:space="preserve"> “deportable” rather than “removable.” </w:t>
      </w:r>
    </w:p>
    <w:p w14:paraId="2913A702" w14:textId="5CBCF4D5" w:rsidR="00541E6D" w:rsidRDefault="00541E6D" w:rsidP="0077478D">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AOS:</w:t>
      </w:r>
    </w:p>
    <w:p w14:paraId="58096732" w14:textId="4FA92DD8" w:rsidR="00541E6D" w:rsidRPr="007165EF" w:rsidRDefault="007165EF" w:rsidP="00541E6D">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Make an application (I-485)</w:t>
      </w:r>
    </w:p>
    <w:p w14:paraId="28508638" w14:textId="3909670B" w:rsidR="007165EF" w:rsidRPr="007165EF" w:rsidRDefault="007165EF" w:rsidP="00541E6D">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Be eligible to receive a visa (I-130) and be admitted as LPR</w:t>
      </w:r>
    </w:p>
    <w:p w14:paraId="38C2F494" w14:textId="1D4FB970" w:rsidR="007165EF" w:rsidRPr="0077478D" w:rsidRDefault="007165EF" w:rsidP="00541E6D">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lastRenderedPageBreak/>
        <w:t>An immigrant visa must be immediately available at the time of application. (</w:t>
      </w:r>
      <w:r w:rsidR="008B05ED">
        <w:rPr>
          <w:rFonts w:ascii="Times New Roman" w:hAnsi="Times New Roman" w:cs="Times New Roman"/>
          <w:bCs/>
          <w:sz w:val="24"/>
          <w:szCs w:val="24"/>
        </w:rPr>
        <w:t>Visa # current)</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2055EC37"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1B53C117" w14:textId="76354713" w:rsidR="00EE0C11" w:rsidRDefault="00EE0C11" w:rsidP="00EE0C11">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“It has been the consistent practice of this Board to interpret the requirement of admissibility in section 245(a) with reference only to the exclusion grounds in the Act.”</w:t>
      </w:r>
      <w:r>
        <w:rPr>
          <w:rFonts w:ascii="Times New Roman" w:hAnsi="Times New Roman" w:cs="Times New Roman"/>
          <w:bCs/>
          <w:sz w:val="24"/>
          <w:szCs w:val="24"/>
        </w:rPr>
        <w:tab/>
        <w:t>600</w:t>
      </w:r>
    </w:p>
    <w:p w14:paraId="74F49065" w14:textId="77777777" w:rsidR="00A8465F" w:rsidRDefault="00A8465F" w:rsidP="00A8465F">
      <w:pPr>
        <w:pStyle w:val="ListParagraph"/>
        <w:spacing w:after="0"/>
        <w:rPr>
          <w:rFonts w:ascii="Times New Roman" w:hAnsi="Times New Roman" w:cs="Times New Roman"/>
          <w:bCs/>
          <w:sz w:val="24"/>
          <w:szCs w:val="24"/>
        </w:rPr>
      </w:pPr>
    </w:p>
    <w:p w14:paraId="61E50E6F" w14:textId="6554737E" w:rsidR="00065F5D" w:rsidRDefault="00065F5D" w:rsidP="00EE0C11">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“Were we now to apply the rule in </w:t>
      </w:r>
      <w:r>
        <w:rPr>
          <w:rFonts w:ascii="Times New Roman" w:hAnsi="Times New Roman" w:cs="Times New Roman"/>
          <w:bCs/>
          <w:i/>
          <w:iCs/>
          <w:sz w:val="24"/>
          <w:szCs w:val="24"/>
        </w:rPr>
        <w:t>Matter of V-</w:t>
      </w:r>
      <w:r>
        <w:rPr>
          <w:rFonts w:ascii="Times New Roman" w:hAnsi="Times New Roman" w:cs="Times New Roman"/>
          <w:bCs/>
          <w:sz w:val="24"/>
          <w:szCs w:val="24"/>
        </w:rPr>
        <w:t>, we would be imposing upon an applicant an additional burden, not appearing in the statute, that he prove not only that he is admissible, but also that he would not become immediately deportable once admitted for lawful permanent residence.”</w:t>
      </w:r>
      <w:r>
        <w:rPr>
          <w:rFonts w:ascii="Times New Roman" w:hAnsi="Times New Roman" w:cs="Times New Roman"/>
          <w:bCs/>
          <w:sz w:val="24"/>
          <w:szCs w:val="24"/>
        </w:rPr>
        <w:tab/>
        <w:t>601</w:t>
      </w:r>
    </w:p>
    <w:p w14:paraId="620702AB" w14:textId="77777777" w:rsidR="00A8465F" w:rsidRPr="00A8465F" w:rsidRDefault="00A8465F" w:rsidP="00A8465F">
      <w:pPr>
        <w:pStyle w:val="ListParagraph"/>
        <w:rPr>
          <w:rFonts w:ascii="Times New Roman" w:hAnsi="Times New Roman" w:cs="Times New Roman"/>
          <w:bCs/>
          <w:sz w:val="24"/>
          <w:szCs w:val="24"/>
        </w:rPr>
      </w:pPr>
    </w:p>
    <w:p w14:paraId="625800B7" w14:textId="7756306D" w:rsidR="00695D3F" w:rsidRDefault="00695D3F" w:rsidP="00EE0C11">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“Further, the rule in </w:t>
      </w:r>
      <w:r>
        <w:rPr>
          <w:rFonts w:ascii="Times New Roman" w:hAnsi="Times New Roman" w:cs="Times New Roman"/>
          <w:bCs/>
          <w:i/>
          <w:iCs/>
          <w:sz w:val="24"/>
          <w:szCs w:val="24"/>
        </w:rPr>
        <w:t>Matter of V-</w:t>
      </w:r>
      <w:r>
        <w:rPr>
          <w:rFonts w:ascii="Times New Roman" w:hAnsi="Times New Roman" w:cs="Times New Roman"/>
          <w:bCs/>
          <w:sz w:val="24"/>
          <w:szCs w:val="24"/>
        </w:rPr>
        <w:t xml:space="preserve"> requires an ‘entry.’ </w:t>
      </w:r>
      <w:r w:rsidRPr="001414A4">
        <w:rPr>
          <w:rFonts w:ascii="Times New Roman" w:hAnsi="Times New Roman" w:cs="Times New Roman"/>
          <w:bCs/>
          <w:color w:val="C00000"/>
          <w:sz w:val="24"/>
          <w:szCs w:val="24"/>
        </w:rPr>
        <w:t>An adjustment of status, however, does not constitute an entry. A</w:t>
      </w:r>
      <w:r w:rsidR="00B064FF" w:rsidRPr="001414A4">
        <w:rPr>
          <w:rFonts w:ascii="Times New Roman" w:hAnsi="Times New Roman" w:cs="Times New Roman"/>
          <w:bCs/>
          <w:color w:val="C00000"/>
          <w:sz w:val="24"/>
          <w:szCs w:val="24"/>
        </w:rPr>
        <w:t>s we have repeatedly held, an adjustment of status is merely a procedural mechanism by which an alien is assimilated to the position of one seeking to enter the United States.</w:t>
      </w:r>
      <w:r w:rsidR="001414A4" w:rsidRPr="001414A4">
        <w:rPr>
          <w:rFonts w:ascii="Times New Roman" w:hAnsi="Times New Roman" w:cs="Times New Roman"/>
          <w:bCs/>
          <w:color w:val="C00000"/>
          <w:sz w:val="24"/>
          <w:szCs w:val="24"/>
        </w:rPr>
        <w:t xml:space="preserve">” </w:t>
      </w:r>
      <w:r w:rsidR="001414A4">
        <w:rPr>
          <w:rFonts w:ascii="Times New Roman" w:hAnsi="Times New Roman" w:cs="Times New Roman"/>
          <w:bCs/>
          <w:sz w:val="24"/>
          <w:szCs w:val="24"/>
        </w:rPr>
        <w:t>601</w:t>
      </w:r>
    </w:p>
    <w:p w14:paraId="7408B5BB" w14:textId="77777777" w:rsidR="00A8465F" w:rsidRPr="00A8465F" w:rsidRDefault="00A8465F" w:rsidP="00A8465F">
      <w:pPr>
        <w:pStyle w:val="ListParagraph"/>
        <w:rPr>
          <w:rFonts w:ascii="Times New Roman" w:hAnsi="Times New Roman" w:cs="Times New Roman"/>
          <w:bCs/>
          <w:sz w:val="24"/>
          <w:szCs w:val="24"/>
        </w:rPr>
      </w:pPr>
    </w:p>
    <w:p w14:paraId="2789EA05" w14:textId="3AB2EF17" w:rsidR="002B291F" w:rsidRPr="00EE0C11" w:rsidRDefault="002B291F" w:rsidP="00EE0C11">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w:t>
      </w:r>
      <w:r w:rsidRPr="00422A30">
        <w:rPr>
          <w:rFonts w:ascii="Times New Roman" w:hAnsi="Times New Roman" w:cs="Times New Roman"/>
          <w:b/>
          <w:sz w:val="24"/>
          <w:szCs w:val="24"/>
        </w:rPr>
        <w:t xml:space="preserve">In the instant case, </w:t>
      </w:r>
      <w:r w:rsidR="00422A30" w:rsidRPr="00422A30">
        <w:rPr>
          <w:rFonts w:ascii="Times New Roman" w:hAnsi="Times New Roman" w:cs="Times New Roman"/>
          <w:b/>
          <w:sz w:val="24"/>
          <w:szCs w:val="24"/>
        </w:rPr>
        <w:t xml:space="preserve">as in </w:t>
      </w:r>
      <w:r w:rsidR="00422A30" w:rsidRPr="00422A30">
        <w:rPr>
          <w:rFonts w:ascii="Times New Roman" w:hAnsi="Times New Roman" w:cs="Times New Roman"/>
          <w:b/>
          <w:i/>
          <w:iCs/>
          <w:sz w:val="24"/>
          <w:szCs w:val="24"/>
        </w:rPr>
        <w:t>Matter of Rafipour</w:t>
      </w:r>
      <w:r w:rsidR="00422A30" w:rsidRPr="00422A30">
        <w:rPr>
          <w:rFonts w:ascii="Times New Roman" w:hAnsi="Times New Roman" w:cs="Times New Roman"/>
          <w:b/>
          <w:sz w:val="24"/>
          <w:szCs w:val="24"/>
        </w:rPr>
        <w:t>, the respondent faces a charge of deportability for which there is no corresponding ground of exclusion in the Act.”</w:t>
      </w:r>
      <w:r w:rsidR="00422A30">
        <w:rPr>
          <w:rFonts w:ascii="Times New Roman" w:hAnsi="Times New Roman" w:cs="Times New Roman"/>
          <w:bCs/>
          <w:sz w:val="24"/>
          <w:szCs w:val="24"/>
        </w:rPr>
        <w:tab/>
        <w:t>602</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0C515D8F"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Commentary:</w:t>
      </w:r>
    </w:p>
    <w:p w14:paraId="287EFF1B" w14:textId="0022D9C5" w:rsidR="00A50731" w:rsidRPr="00A50731" w:rsidRDefault="00A50731" w:rsidP="00A50731">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This stems from the quirk in the immigration law that makes SOME crimes</w:t>
      </w:r>
      <w:r w:rsidR="0081683A">
        <w:rPr>
          <w:rFonts w:ascii="Times New Roman" w:hAnsi="Times New Roman" w:cs="Times New Roman"/>
          <w:bCs/>
          <w:sz w:val="24"/>
          <w:szCs w:val="24"/>
        </w:rPr>
        <w:t xml:space="preserve"> bars to admission, and DIFFERENT crimes causes of removability. A person can be eligible for entry or adjustment, </w:t>
      </w:r>
      <w:r w:rsidR="00020ACF">
        <w:rPr>
          <w:rFonts w:ascii="Times New Roman" w:hAnsi="Times New Roman" w:cs="Times New Roman"/>
          <w:bCs/>
          <w:sz w:val="24"/>
          <w:szCs w:val="24"/>
        </w:rPr>
        <w:t>but simultaneously subject to a deportation order.</w:t>
      </w:r>
    </w:p>
    <w:sectPr w:rsidR="00A50731" w:rsidRPr="00A50731" w:rsidSect="00F5798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6C4C1" w14:textId="77777777" w:rsidR="00464121" w:rsidRDefault="00464121" w:rsidP="00077658">
      <w:pPr>
        <w:spacing w:after="0" w:line="240" w:lineRule="auto"/>
      </w:pPr>
      <w:r>
        <w:separator/>
      </w:r>
    </w:p>
  </w:endnote>
  <w:endnote w:type="continuationSeparator" w:id="0">
    <w:p w14:paraId="04145C16" w14:textId="77777777" w:rsidR="00464121" w:rsidRDefault="00464121"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F23AE" w14:textId="77777777" w:rsidR="00464121" w:rsidRDefault="00464121" w:rsidP="00077658">
      <w:pPr>
        <w:spacing w:after="0" w:line="240" w:lineRule="auto"/>
      </w:pPr>
      <w:r>
        <w:separator/>
      </w:r>
    </w:p>
  </w:footnote>
  <w:footnote w:type="continuationSeparator" w:id="0">
    <w:p w14:paraId="08CB9179" w14:textId="77777777" w:rsidR="00464121" w:rsidRDefault="00464121"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3A172AA1" w:rsidR="00077658" w:rsidRDefault="00886489">
    <w:pPr>
      <w:pStyle w:val="Header"/>
    </w:pPr>
    <w:r>
      <w:t>BIA</w:t>
    </w:r>
    <w:r w:rsidR="00077658">
      <w:ptab w:relativeTo="margin" w:alignment="center" w:leader="none"/>
    </w:r>
    <w:r w:rsidR="005A53B6">
      <w:t>1992</w:t>
    </w:r>
    <w:r w:rsidR="00077658">
      <w:ptab w:relativeTo="margin" w:alignment="right" w:leader="none"/>
    </w:r>
    <w:r w:rsidR="005A53B6">
      <w:t>Matter of Rainford</w:t>
    </w:r>
  </w:p>
  <w:p w14:paraId="20453BD2" w14:textId="5BCEAADB" w:rsidR="00077658" w:rsidRDefault="005A36D5" w:rsidP="00077658">
    <w:pPr>
      <w:pStyle w:val="Header"/>
      <w:jc w:val="right"/>
    </w:pPr>
    <w:r>
      <w:t>AOS: RELIEF FROM REMOVAL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74F0D"/>
    <w:multiLevelType w:val="hybridMultilevel"/>
    <w:tmpl w:val="E24C1310"/>
    <w:lvl w:ilvl="0" w:tplc="3456105C">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20ACF"/>
    <w:rsid w:val="00065F5D"/>
    <w:rsid w:val="00077658"/>
    <w:rsid w:val="001414A4"/>
    <w:rsid w:val="00145948"/>
    <w:rsid w:val="001F2C86"/>
    <w:rsid w:val="002B291F"/>
    <w:rsid w:val="003B48F2"/>
    <w:rsid w:val="00414A71"/>
    <w:rsid w:val="00422A30"/>
    <w:rsid w:val="00434DCC"/>
    <w:rsid w:val="00464121"/>
    <w:rsid w:val="00541E6D"/>
    <w:rsid w:val="005A36D5"/>
    <w:rsid w:val="005A53B6"/>
    <w:rsid w:val="005B7C1B"/>
    <w:rsid w:val="005E2E30"/>
    <w:rsid w:val="005F6FCF"/>
    <w:rsid w:val="00695D3F"/>
    <w:rsid w:val="007165EF"/>
    <w:rsid w:val="00724073"/>
    <w:rsid w:val="0077478D"/>
    <w:rsid w:val="007A69AF"/>
    <w:rsid w:val="008108A0"/>
    <w:rsid w:val="008156EC"/>
    <w:rsid w:val="0081683A"/>
    <w:rsid w:val="00886489"/>
    <w:rsid w:val="008B05ED"/>
    <w:rsid w:val="00936658"/>
    <w:rsid w:val="0094231B"/>
    <w:rsid w:val="009B09E3"/>
    <w:rsid w:val="00A02B07"/>
    <w:rsid w:val="00A50731"/>
    <w:rsid w:val="00A660D1"/>
    <w:rsid w:val="00A8465F"/>
    <w:rsid w:val="00B04C9D"/>
    <w:rsid w:val="00B064FF"/>
    <w:rsid w:val="00B13A5E"/>
    <w:rsid w:val="00B271D5"/>
    <w:rsid w:val="00B627F1"/>
    <w:rsid w:val="00BA2E6F"/>
    <w:rsid w:val="00CE41B9"/>
    <w:rsid w:val="00DB122A"/>
    <w:rsid w:val="00E421A6"/>
    <w:rsid w:val="00E674F9"/>
    <w:rsid w:val="00E71766"/>
    <w:rsid w:val="00EC139C"/>
    <w:rsid w:val="00EE0C11"/>
    <w:rsid w:val="00F01663"/>
    <w:rsid w:val="00F21430"/>
    <w:rsid w:val="00F36A1F"/>
    <w:rsid w:val="00F45D65"/>
    <w:rsid w:val="00F57981"/>
    <w:rsid w:val="00F76986"/>
    <w:rsid w:val="00FD53FC"/>
    <w:rsid w:val="00FE6B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FE6B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544</Words>
  <Characters>3104</Characters>
  <Application>Microsoft Office Word</Application>
  <DocSecurity>0</DocSecurity>
  <Lines>25</Lines>
  <Paragraphs>7</Paragraphs>
  <ScaleCrop>false</ScaleCrop>
  <Company>Hewlett-Packard Company</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47</cp:revision>
  <dcterms:created xsi:type="dcterms:W3CDTF">2021-11-02T14:31:00Z</dcterms:created>
  <dcterms:modified xsi:type="dcterms:W3CDTF">2021-11-02T15:15:00Z</dcterms:modified>
</cp:coreProperties>
</file>