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53BB7" w14:textId="32CF4412" w:rsidR="00CE41B9"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524AA5">
        <w:rPr>
          <w:rFonts w:ascii="Times New Roman" w:hAnsi="Times New Roman" w:cs="Times New Roman"/>
          <w:b/>
          <w:sz w:val="24"/>
          <w:szCs w:val="24"/>
        </w:rPr>
        <w:t xml:space="preserve"> BIA</w:t>
      </w:r>
    </w:p>
    <w:p w14:paraId="5181A522" w14:textId="77777777" w:rsidR="00A27EE7" w:rsidRPr="00936658" w:rsidRDefault="00A27EE7" w:rsidP="00936658">
      <w:pPr>
        <w:spacing w:after="0"/>
        <w:jc w:val="center"/>
        <w:rPr>
          <w:rFonts w:ascii="Times New Roman" w:hAnsi="Times New Roman" w:cs="Times New Roman"/>
          <w:b/>
          <w:sz w:val="24"/>
          <w:szCs w:val="24"/>
        </w:rPr>
      </w:pPr>
    </w:p>
    <w:p w14:paraId="20453BB8" w14:textId="476D7DB0"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B667B1">
        <w:rPr>
          <w:rFonts w:ascii="Times New Roman" w:hAnsi="Times New Roman" w:cs="Times New Roman"/>
          <w:b/>
          <w:i/>
          <w:iCs/>
          <w:sz w:val="24"/>
          <w:szCs w:val="24"/>
        </w:rPr>
        <w:t>Matter of L-T-A-</w:t>
      </w:r>
      <w:r w:rsidR="00B667B1">
        <w:rPr>
          <w:rFonts w:ascii="Times New Roman" w:hAnsi="Times New Roman" w:cs="Times New Roman"/>
          <w:b/>
          <w:sz w:val="24"/>
          <w:szCs w:val="24"/>
        </w:rPr>
        <w:t>, 29 I&amp;N Dec. 362 (BIA 2025)</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B667B1">
        <w:rPr>
          <w:rFonts w:ascii="Times New Roman" w:hAnsi="Times New Roman" w:cs="Times New Roman"/>
          <w:b/>
          <w:sz w:val="24"/>
          <w:szCs w:val="24"/>
        </w:rPr>
        <w:t xml:space="preserve"> </w:t>
      </w:r>
      <w:r w:rsidR="00B667B1">
        <w:rPr>
          <w:rFonts w:ascii="Times New Roman" w:hAnsi="Times New Roman" w:cs="Times New Roman"/>
          <w:bCs/>
          <w:sz w:val="24"/>
          <w:szCs w:val="24"/>
        </w:rPr>
        <w:t>December 18, 2025</w:t>
      </w:r>
    </w:p>
    <w:p w14:paraId="79EC6945" w14:textId="77777777" w:rsidR="00B667B1" w:rsidRPr="00B667B1" w:rsidRDefault="00B667B1" w:rsidP="00936658">
      <w:pPr>
        <w:spacing w:after="0"/>
        <w:rPr>
          <w:rFonts w:ascii="Times New Roman" w:hAnsi="Times New Roman" w:cs="Times New Roman"/>
          <w:bCs/>
          <w:sz w:val="24"/>
          <w:szCs w:val="24"/>
        </w:rPr>
      </w:pPr>
    </w:p>
    <w:p w14:paraId="20453BBA" w14:textId="5D06388C"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B667B1">
        <w:rPr>
          <w:rFonts w:ascii="Times New Roman" w:hAnsi="Times New Roman" w:cs="Times New Roman"/>
          <w:bCs/>
          <w:sz w:val="24"/>
          <w:szCs w:val="24"/>
        </w:rPr>
        <w:t xml:space="preserve"> Mullane, </w:t>
      </w:r>
      <w:proofErr w:type="spellStart"/>
      <w:r w:rsidR="00B667B1">
        <w:rPr>
          <w:rFonts w:ascii="Times New Roman" w:hAnsi="Times New Roman" w:cs="Times New Roman"/>
          <w:bCs/>
          <w:sz w:val="24"/>
          <w:szCs w:val="24"/>
        </w:rPr>
        <w:t>Creppy</w:t>
      </w:r>
      <w:proofErr w:type="spellEnd"/>
      <w:r w:rsidR="00B667B1">
        <w:rPr>
          <w:rFonts w:ascii="Times New Roman" w:hAnsi="Times New Roman" w:cs="Times New Roman"/>
          <w:bCs/>
          <w:sz w:val="24"/>
          <w:szCs w:val="24"/>
        </w:rPr>
        <w:t>, Goodwin</w:t>
      </w:r>
      <w:r w:rsidRPr="00936658">
        <w:rPr>
          <w:rFonts w:ascii="Times New Roman" w:hAnsi="Times New Roman" w:cs="Times New Roman"/>
          <w:b/>
          <w:sz w:val="24"/>
          <w:szCs w:val="24"/>
        </w:rPr>
        <w:tab/>
      </w:r>
      <w:r w:rsidR="00B667B1">
        <w:rPr>
          <w:rFonts w:ascii="Times New Roman" w:hAnsi="Times New Roman" w:cs="Times New Roman"/>
          <w:b/>
          <w:sz w:val="24"/>
          <w:szCs w:val="24"/>
        </w:rPr>
        <w:tab/>
      </w:r>
      <w:r w:rsidR="00B667B1">
        <w:rPr>
          <w:rFonts w:ascii="Times New Roman" w:hAnsi="Times New Roman" w:cs="Times New Roman"/>
          <w:b/>
          <w:sz w:val="24"/>
          <w:szCs w:val="24"/>
        </w:rPr>
        <w:tab/>
      </w:r>
      <w:r w:rsidRPr="00936658">
        <w:rPr>
          <w:rFonts w:ascii="Times New Roman" w:hAnsi="Times New Roman" w:cs="Times New Roman"/>
          <w:b/>
          <w:sz w:val="24"/>
          <w:szCs w:val="24"/>
        </w:rPr>
        <w:t>Opinion:</w:t>
      </w:r>
      <w:r w:rsidR="00B667B1">
        <w:rPr>
          <w:rFonts w:ascii="Times New Roman" w:hAnsi="Times New Roman" w:cs="Times New Roman"/>
          <w:bCs/>
          <w:sz w:val="24"/>
          <w:szCs w:val="24"/>
        </w:rPr>
        <w:t xml:space="preserve"> Goodwin</w:t>
      </w:r>
    </w:p>
    <w:p w14:paraId="67E10124" w14:textId="77777777" w:rsidR="00B667B1" w:rsidRPr="00B667B1" w:rsidRDefault="00B667B1" w:rsidP="00936658">
      <w:pPr>
        <w:spacing w:after="0"/>
        <w:rPr>
          <w:rFonts w:ascii="Times New Roman" w:hAnsi="Times New Roman" w:cs="Times New Roman"/>
          <w:bCs/>
          <w:sz w:val="24"/>
          <w:szCs w:val="24"/>
        </w:rPr>
      </w:pPr>
    </w:p>
    <w:p w14:paraId="20453BBB" w14:textId="718E1BD0"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B667B1">
        <w:rPr>
          <w:rFonts w:ascii="Times New Roman" w:hAnsi="Times New Roman" w:cs="Times New Roman"/>
          <w:bCs/>
          <w:sz w:val="24"/>
          <w:szCs w:val="24"/>
        </w:rPr>
        <w:t xml:space="preserve"> </w:t>
      </w:r>
      <w:r w:rsidR="003221EB">
        <w:rPr>
          <w:rFonts w:ascii="Times New Roman" w:hAnsi="Times New Roman" w:cs="Times New Roman"/>
          <w:bCs/>
          <w:sz w:val="24"/>
          <w:szCs w:val="24"/>
        </w:rPr>
        <w:t>Asylum, firm resettlement bar</w:t>
      </w:r>
    </w:p>
    <w:p w14:paraId="4033E1B6" w14:textId="77777777" w:rsidR="003221EB" w:rsidRPr="00B667B1" w:rsidRDefault="003221EB" w:rsidP="00936658">
      <w:pPr>
        <w:spacing w:after="0"/>
        <w:rPr>
          <w:rFonts w:ascii="Times New Roman" w:hAnsi="Times New Roman" w:cs="Times New Roman"/>
          <w:bCs/>
          <w:sz w:val="24"/>
          <w:szCs w:val="24"/>
        </w:rPr>
      </w:pPr>
    </w:p>
    <w:p w14:paraId="20453BBC" w14:textId="4B9C5F8D" w:rsidR="00077658" w:rsidRPr="003221EB"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3221EB">
        <w:rPr>
          <w:rFonts w:ascii="Times New Roman" w:hAnsi="Times New Roman" w:cs="Times New Roman"/>
          <w:bCs/>
          <w:sz w:val="24"/>
          <w:szCs w:val="24"/>
        </w:rPr>
        <w:t xml:space="preserve"> </w:t>
      </w:r>
      <w:r w:rsidR="002B2B49">
        <w:rPr>
          <w:rFonts w:ascii="Times New Roman" w:hAnsi="Times New Roman" w:cs="Times New Roman"/>
          <w:bCs/>
          <w:sz w:val="24"/>
          <w:szCs w:val="24"/>
        </w:rPr>
        <w:t>Did respondent firmly resettle in India</w:t>
      </w:r>
      <w:r w:rsidR="003221EB">
        <w:rPr>
          <w:rFonts w:ascii="Times New Roman" w:hAnsi="Times New Roman" w:cs="Times New Roman"/>
          <w:bCs/>
          <w:sz w:val="24"/>
          <w:szCs w:val="24"/>
        </w:rPr>
        <w:t>?</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77777777"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Holdings:</w:t>
      </w:r>
    </w:p>
    <w:p w14:paraId="2CC4F28E" w14:textId="6208F161" w:rsidR="003221EB" w:rsidRPr="003221EB" w:rsidRDefault="003221EB" w:rsidP="003221E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“Evidence that a respondent had a legal right to enter, live, work, and own property indefinitely in the country of proposed resettlement demonstrates that the respondent was offered ‘some other type of permanent resett</w:t>
      </w:r>
      <w:r w:rsidR="0045581B">
        <w:rPr>
          <w:rFonts w:ascii="Times New Roman" w:hAnsi="Times New Roman" w:cs="Times New Roman"/>
          <w:bCs/>
          <w:sz w:val="24"/>
          <w:szCs w:val="24"/>
        </w:rPr>
        <w:t>lement’ for purposes of the firm resettlement bar.”</w:t>
      </w:r>
      <w:r w:rsidR="0045581B">
        <w:rPr>
          <w:rFonts w:ascii="Times New Roman" w:hAnsi="Times New Roman" w:cs="Times New Roman"/>
          <w:bCs/>
          <w:sz w:val="24"/>
          <w:szCs w:val="24"/>
        </w:rPr>
        <w:tab/>
      </w:r>
      <w:r w:rsidR="0045581B">
        <w:rPr>
          <w:rFonts w:ascii="Times New Roman" w:hAnsi="Times New Roman" w:cs="Times New Roman"/>
          <w:bCs/>
          <w:sz w:val="24"/>
          <w:szCs w:val="24"/>
        </w:rPr>
        <w:tab/>
        <w:t>362</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77777777" w:rsidR="00077658" w:rsidRPr="00936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Rationale:</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5CDB19F5" w:rsidR="00077658" w:rsidRPr="0045581B"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45581B">
        <w:rPr>
          <w:rFonts w:ascii="Times New Roman" w:hAnsi="Times New Roman" w:cs="Times New Roman"/>
          <w:bCs/>
          <w:sz w:val="24"/>
          <w:szCs w:val="24"/>
        </w:rPr>
        <w:t xml:space="preserve"> (362</w:t>
      </w:r>
      <w:r w:rsidR="00F313E8">
        <w:rPr>
          <w:rFonts w:ascii="Times New Roman" w:hAnsi="Times New Roman" w:cs="Times New Roman"/>
          <w:bCs/>
          <w:sz w:val="24"/>
          <w:szCs w:val="24"/>
        </w:rPr>
        <w:t>-63</w:t>
      </w:r>
      <w:r w:rsidR="0045581B">
        <w:rPr>
          <w:rFonts w:ascii="Times New Roman" w:hAnsi="Times New Roman" w:cs="Times New Roman"/>
          <w:bCs/>
          <w:sz w:val="24"/>
          <w:szCs w:val="24"/>
        </w:rPr>
        <w:t xml:space="preserve">) </w:t>
      </w:r>
      <w:r w:rsidR="00F54447">
        <w:rPr>
          <w:rFonts w:ascii="Times New Roman" w:hAnsi="Times New Roman" w:cs="Times New Roman"/>
          <w:bCs/>
          <w:sz w:val="24"/>
          <w:szCs w:val="24"/>
        </w:rPr>
        <w:t xml:space="preserve">Nepal. </w:t>
      </w:r>
      <w:r w:rsidR="0057470B">
        <w:rPr>
          <w:rFonts w:ascii="Times New Roman" w:hAnsi="Times New Roman" w:cs="Times New Roman"/>
          <w:bCs/>
          <w:sz w:val="24"/>
          <w:szCs w:val="24"/>
        </w:rPr>
        <w:t xml:space="preserve">As a student in 2009, respondent received threats from Maoists because she refused to support them. </w:t>
      </w:r>
      <w:r w:rsidR="00866B85">
        <w:rPr>
          <w:rFonts w:ascii="Times New Roman" w:hAnsi="Times New Roman" w:cs="Times New Roman"/>
          <w:bCs/>
          <w:sz w:val="24"/>
          <w:szCs w:val="24"/>
        </w:rPr>
        <w:t>In 2011 they attacked her when she organized a meeting in support of the Nepali Congress Party</w:t>
      </w:r>
      <w:r w:rsidR="00EA3C93">
        <w:rPr>
          <w:rFonts w:ascii="Times New Roman" w:hAnsi="Times New Roman" w:cs="Times New Roman"/>
          <w:bCs/>
          <w:sz w:val="24"/>
          <w:szCs w:val="24"/>
        </w:rPr>
        <w:t xml:space="preserve">, resulting in serious injuries. </w:t>
      </w:r>
      <w:r w:rsidR="00F313E8">
        <w:rPr>
          <w:rFonts w:ascii="Times New Roman" w:hAnsi="Times New Roman" w:cs="Times New Roman"/>
          <w:bCs/>
          <w:sz w:val="24"/>
          <w:szCs w:val="24"/>
        </w:rPr>
        <w:t>She fled to India and lived there for five years without incident. She was indirectly threatened by Maoists while there and decided to leave.</w:t>
      </w:r>
      <w:r w:rsidR="002B2B49">
        <w:rPr>
          <w:rFonts w:ascii="Times New Roman" w:hAnsi="Times New Roman" w:cs="Times New Roman"/>
          <w:bCs/>
          <w:sz w:val="24"/>
          <w:szCs w:val="24"/>
        </w:rPr>
        <w:t xml:space="preserve">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2ADC6650"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3D671ACC" w14:textId="70DF17B0" w:rsidR="008C6DFE" w:rsidRPr="00033281" w:rsidRDefault="008C6DFE" w:rsidP="008C6DF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January 15, 2020:</w:t>
      </w:r>
      <w:r>
        <w:rPr>
          <w:rFonts w:ascii="Times New Roman" w:hAnsi="Times New Roman" w:cs="Times New Roman"/>
          <w:bCs/>
          <w:sz w:val="24"/>
          <w:szCs w:val="24"/>
        </w:rPr>
        <w:t xml:space="preserve"> IJ denied application for asylum, granted withholding – firm resettlement bar finding.</w:t>
      </w:r>
    </w:p>
    <w:p w14:paraId="76F84DA2" w14:textId="546252A8" w:rsidR="00033281" w:rsidRPr="008C6DFE" w:rsidRDefault="001F0332" w:rsidP="008C6DF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_____:</w:t>
      </w:r>
      <w:r>
        <w:rPr>
          <w:rFonts w:ascii="Times New Roman" w:hAnsi="Times New Roman" w:cs="Times New Roman"/>
          <w:bCs/>
          <w:sz w:val="24"/>
          <w:szCs w:val="24"/>
        </w:rPr>
        <w:t xml:space="preserve"> Respondent appealed denial of asylum &amp; filed additional evidence.</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77777777"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4D9E9BFF" w14:textId="7DE112FE" w:rsidR="008C6DFE" w:rsidRPr="00630498" w:rsidRDefault="008C6DFE" w:rsidP="008C6DFE">
      <w:pPr>
        <w:pStyle w:val="ListParagraph"/>
        <w:numPr>
          <w:ilvl w:val="0"/>
          <w:numId w:val="1"/>
        </w:numPr>
        <w:spacing w:after="0"/>
        <w:rPr>
          <w:rFonts w:ascii="Times New Roman" w:hAnsi="Times New Roman" w:cs="Times New Roman"/>
          <w:b/>
          <w:sz w:val="24"/>
          <w:szCs w:val="24"/>
        </w:rPr>
      </w:pPr>
      <w:r w:rsidRPr="00630498">
        <w:rPr>
          <w:rFonts w:ascii="Times New Roman" w:hAnsi="Times New Roman" w:cs="Times New Roman"/>
          <w:b/>
          <w:sz w:val="24"/>
          <w:szCs w:val="24"/>
        </w:rPr>
        <w:t xml:space="preserve">INA </w:t>
      </w:r>
      <w:r w:rsidR="00630498" w:rsidRPr="00630498">
        <w:rPr>
          <w:rFonts w:ascii="Times New Roman" w:hAnsi="Times New Roman" w:cs="Times New Roman"/>
          <w:b/>
          <w:sz w:val="24"/>
          <w:szCs w:val="24"/>
        </w:rPr>
        <w:t>§ 208(b)(2)(A)(vi), 8 U.S.C. § 1158(b)(2)(A)(vi):</w:t>
      </w:r>
      <w:r w:rsidR="00630498" w:rsidRPr="00630498">
        <w:rPr>
          <w:rFonts w:ascii="Times New Roman" w:hAnsi="Times New Roman" w:cs="Times New Roman"/>
          <w:bCs/>
          <w:sz w:val="24"/>
          <w:szCs w:val="24"/>
        </w:rPr>
        <w:t xml:space="preserve"> Firm resett</w:t>
      </w:r>
      <w:r w:rsidR="00630498">
        <w:rPr>
          <w:rFonts w:ascii="Times New Roman" w:hAnsi="Times New Roman" w:cs="Times New Roman"/>
          <w:bCs/>
          <w:sz w:val="24"/>
          <w:szCs w:val="24"/>
        </w:rPr>
        <w:t>lement bar for asylum</w:t>
      </w:r>
      <w:r w:rsidR="00356A9A">
        <w:rPr>
          <w:rFonts w:ascii="Times New Roman" w:hAnsi="Times New Roman" w:cs="Times New Roman"/>
          <w:bCs/>
          <w:sz w:val="24"/>
          <w:szCs w:val="24"/>
        </w:rPr>
        <w:t xml:space="preserve">: applicant is ineligible for asylum if he or she “was firmly resettled in another country prior to arriving in the United States.” </w:t>
      </w:r>
      <w:r w:rsidR="00887D00">
        <w:rPr>
          <w:rFonts w:ascii="Times New Roman" w:hAnsi="Times New Roman" w:cs="Times New Roman"/>
          <w:bCs/>
          <w:sz w:val="24"/>
          <w:szCs w:val="24"/>
        </w:rPr>
        <w:tab/>
        <w:t>(q.363)</w:t>
      </w:r>
    </w:p>
    <w:p w14:paraId="15441052" w14:textId="58777F5A" w:rsidR="00630498" w:rsidRPr="00D50264" w:rsidRDefault="00033281" w:rsidP="008C6DF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8 C.F.R. § 1208.15 (2020):</w:t>
      </w:r>
      <w:r w:rsidRPr="00033281">
        <w:t xml:space="preserve"> </w:t>
      </w:r>
      <w:r>
        <w:rPr>
          <w:rFonts w:ascii="Times New Roman" w:hAnsi="Times New Roman" w:cs="Times New Roman"/>
          <w:bCs/>
          <w:sz w:val="24"/>
          <w:szCs w:val="24"/>
        </w:rPr>
        <w:t>Firm resettlement</w:t>
      </w:r>
      <w:r w:rsidR="00250982">
        <w:rPr>
          <w:rFonts w:ascii="Times New Roman" w:hAnsi="Times New Roman" w:cs="Times New Roman"/>
          <w:bCs/>
          <w:sz w:val="24"/>
          <w:szCs w:val="24"/>
        </w:rPr>
        <w:t>: citizenship, permanent residence, or “some other type of permanent resettlement.”</w:t>
      </w:r>
    </w:p>
    <w:p w14:paraId="64CFFB24" w14:textId="2EAC81F8" w:rsidR="00D50264" w:rsidRPr="00D50264" w:rsidRDefault="00D50264" w:rsidP="00D50264">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Exceptions:</w:t>
      </w:r>
    </w:p>
    <w:p w14:paraId="24D2ECA9" w14:textId="195C9E50" w:rsidR="00D50264" w:rsidRPr="00D46A91" w:rsidRDefault="00D50264" w:rsidP="00D50264">
      <w:pPr>
        <w:pStyle w:val="ListParagraph"/>
        <w:numPr>
          <w:ilvl w:val="2"/>
          <w:numId w:val="1"/>
        </w:numPr>
        <w:spacing w:after="0"/>
        <w:rPr>
          <w:rFonts w:ascii="Times New Roman" w:hAnsi="Times New Roman" w:cs="Times New Roman"/>
          <w:b/>
          <w:sz w:val="24"/>
          <w:szCs w:val="24"/>
        </w:rPr>
      </w:pPr>
      <w:r>
        <w:rPr>
          <w:rFonts w:ascii="Times New Roman" w:hAnsi="Times New Roman" w:cs="Times New Roman"/>
          <w:bCs/>
          <w:sz w:val="24"/>
          <w:szCs w:val="24"/>
        </w:rPr>
        <w:t>(a) entry into that country was necessary consequence of flight from persecution</w:t>
      </w:r>
      <w:r w:rsidR="00A91E86">
        <w:rPr>
          <w:rFonts w:ascii="Times New Roman" w:hAnsi="Times New Roman" w:cs="Times New Roman"/>
          <w:bCs/>
          <w:sz w:val="24"/>
          <w:szCs w:val="24"/>
        </w:rPr>
        <w:t>, remained in that country only long enough to arrange onward travel, did not establish significant ties in that country</w:t>
      </w:r>
    </w:p>
    <w:p w14:paraId="45DE07D2" w14:textId="0DC7AD4F" w:rsidR="00D46A91" w:rsidRPr="00A91E86" w:rsidRDefault="00D46A91" w:rsidP="00D46A91">
      <w:pPr>
        <w:pStyle w:val="ListParagraph"/>
        <w:spacing w:after="0"/>
        <w:ind w:left="2160"/>
        <w:rPr>
          <w:rFonts w:ascii="Times New Roman" w:hAnsi="Times New Roman" w:cs="Times New Roman"/>
          <w:b/>
          <w:sz w:val="24"/>
          <w:szCs w:val="24"/>
        </w:rPr>
      </w:pPr>
      <w:r>
        <w:rPr>
          <w:rFonts w:ascii="Times New Roman" w:hAnsi="Times New Roman" w:cs="Times New Roman"/>
          <w:bCs/>
          <w:sz w:val="24"/>
          <w:szCs w:val="24"/>
        </w:rPr>
        <w:t>OR</w:t>
      </w:r>
    </w:p>
    <w:p w14:paraId="49D6BAF6" w14:textId="327D22B3" w:rsidR="00A91E86" w:rsidRPr="00613665" w:rsidRDefault="00A91E86" w:rsidP="00D50264">
      <w:pPr>
        <w:pStyle w:val="ListParagraph"/>
        <w:numPr>
          <w:ilvl w:val="2"/>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(b) conditions of residence were </w:t>
      </w:r>
      <w:r w:rsidR="00D46A91">
        <w:rPr>
          <w:rFonts w:ascii="Times New Roman" w:hAnsi="Times New Roman" w:cs="Times New Roman"/>
          <w:bCs/>
          <w:sz w:val="24"/>
          <w:szCs w:val="24"/>
        </w:rPr>
        <w:t>“substantially and consciously restricted by the authority of the country of refuge</w:t>
      </w:r>
      <w:r w:rsidR="00711578">
        <w:rPr>
          <w:rFonts w:ascii="Times New Roman" w:hAnsi="Times New Roman" w:cs="Times New Roman"/>
          <w:bCs/>
          <w:sz w:val="24"/>
          <w:szCs w:val="24"/>
        </w:rPr>
        <w:t>” that resettlement was not achieved. (e.g., housing, employment, permission to hold property</w:t>
      </w:r>
      <w:r w:rsidR="0071361E">
        <w:rPr>
          <w:rFonts w:ascii="Times New Roman" w:hAnsi="Times New Roman" w:cs="Times New Roman"/>
          <w:bCs/>
          <w:sz w:val="24"/>
          <w:szCs w:val="24"/>
        </w:rPr>
        <w:t xml:space="preserve"> and travel documentation were not comparable to citizens’ privileges)</w:t>
      </w:r>
    </w:p>
    <w:p w14:paraId="564E961C" w14:textId="272BE7FE" w:rsidR="00613665" w:rsidRPr="00CE3661" w:rsidRDefault="00613665" w:rsidP="001908A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Matter of A-G-G-</w:t>
      </w:r>
      <w:r>
        <w:rPr>
          <w:rFonts w:ascii="Times New Roman" w:hAnsi="Times New Roman" w:cs="Times New Roman"/>
          <w:b/>
          <w:sz w:val="24"/>
          <w:szCs w:val="24"/>
        </w:rPr>
        <w:t>, 25 I&amp;N Dec. 486</w:t>
      </w:r>
      <w:r w:rsidR="00144381">
        <w:rPr>
          <w:rFonts w:ascii="Times New Roman" w:hAnsi="Times New Roman" w:cs="Times New Roman"/>
          <w:b/>
          <w:sz w:val="24"/>
          <w:szCs w:val="24"/>
        </w:rPr>
        <w:t>, 501-03</w:t>
      </w:r>
      <w:r>
        <w:rPr>
          <w:rFonts w:ascii="Times New Roman" w:hAnsi="Times New Roman" w:cs="Times New Roman"/>
          <w:b/>
          <w:sz w:val="24"/>
          <w:szCs w:val="24"/>
        </w:rPr>
        <w:t xml:space="preserve"> (BIA 2011):</w:t>
      </w:r>
      <w:r>
        <w:rPr>
          <w:rFonts w:ascii="Times New Roman" w:hAnsi="Times New Roman" w:cs="Times New Roman"/>
          <w:bCs/>
          <w:sz w:val="24"/>
          <w:szCs w:val="24"/>
        </w:rPr>
        <w:t xml:space="preserve"> </w:t>
      </w:r>
      <w:r w:rsidR="00144381">
        <w:rPr>
          <w:rFonts w:ascii="Times New Roman" w:hAnsi="Times New Roman" w:cs="Times New Roman"/>
          <w:bCs/>
          <w:sz w:val="24"/>
          <w:szCs w:val="24"/>
        </w:rPr>
        <w:t>Four-step framework for deciding cases involving firm resettlement</w:t>
      </w:r>
      <w:r w:rsidR="00CE3661">
        <w:rPr>
          <w:rFonts w:ascii="Times New Roman" w:hAnsi="Times New Roman" w:cs="Times New Roman"/>
          <w:bCs/>
          <w:sz w:val="24"/>
          <w:szCs w:val="24"/>
        </w:rPr>
        <w:t>:</w:t>
      </w:r>
    </w:p>
    <w:p w14:paraId="0DABDE18" w14:textId="3AE1C0F4" w:rsidR="00CE3661" w:rsidRPr="00297C6B" w:rsidRDefault="00B01B26" w:rsidP="00B01B26">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DHS “bears the burden of presenting prima facie evidence of an offer of firm resettlement</w:t>
      </w:r>
      <w:r w:rsidR="003F249A">
        <w:rPr>
          <w:rFonts w:ascii="Times New Roman" w:hAnsi="Times New Roman" w:cs="Times New Roman"/>
          <w:bCs/>
          <w:sz w:val="24"/>
          <w:szCs w:val="24"/>
        </w:rPr>
        <w:t xml:space="preserve">.” </w:t>
      </w:r>
      <w:r w:rsidR="003F249A">
        <w:rPr>
          <w:rFonts w:ascii="Times New Roman" w:hAnsi="Times New Roman" w:cs="Times New Roman"/>
          <w:bCs/>
          <w:sz w:val="24"/>
          <w:szCs w:val="24"/>
        </w:rPr>
        <w:tab/>
        <w:t>501 (direct / indirect evidence of an offer)</w:t>
      </w:r>
    </w:p>
    <w:p w14:paraId="0EC9AE01" w14:textId="5B3F0CFE" w:rsidR="00297C6B" w:rsidRPr="006A2373" w:rsidRDefault="00297C6B" w:rsidP="00B01B26">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Respondent can rebut DHS’ evidence “by showing by a preponderance of the evidence that such an offer has not, in fact, been made or that . . . she would not qualify</w:t>
      </w:r>
      <w:r w:rsidR="00DB6007">
        <w:rPr>
          <w:rFonts w:ascii="Times New Roman" w:hAnsi="Times New Roman" w:cs="Times New Roman"/>
          <w:bCs/>
          <w:sz w:val="24"/>
          <w:szCs w:val="24"/>
        </w:rPr>
        <w:t xml:space="preserve"> for it.”   503</w:t>
      </w:r>
    </w:p>
    <w:p w14:paraId="166E8F2E" w14:textId="6DF7C44F" w:rsidR="006A2373" w:rsidRPr="00C52C69" w:rsidRDefault="006A2373" w:rsidP="00B01B26">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IJ should consider totality of evidence presented</w:t>
      </w:r>
      <w:r w:rsidR="00C52C69">
        <w:rPr>
          <w:rFonts w:ascii="Times New Roman" w:hAnsi="Times New Roman" w:cs="Times New Roman"/>
          <w:bCs/>
          <w:sz w:val="24"/>
          <w:szCs w:val="24"/>
        </w:rPr>
        <w:t xml:space="preserve"> so far to decide whether firm resettlement has occurred.</w:t>
      </w:r>
      <w:r w:rsidR="00232AF4">
        <w:rPr>
          <w:rFonts w:ascii="Times New Roman" w:hAnsi="Times New Roman" w:cs="Times New Roman"/>
          <w:bCs/>
          <w:sz w:val="24"/>
          <w:szCs w:val="24"/>
        </w:rPr>
        <w:t xml:space="preserve">  503</w:t>
      </w:r>
    </w:p>
    <w:p w14:paraId="73F1FB6A" w14:textId="43074D0A" w:rsidR="00C52C69" w:rsidRPr="003F249A" w:rsidRDefault="00C52C69" w:rsidP="00B01B26">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If IJ says firm resettlement has occurred, respondent may </w:t>
      </w:r>
      <w:r w:rsidR="00232AF4">
        <w:rPr>
          <w:rFonts w:ascii="Times New Roman" w:hAnsi="Times New Roman" w:cs="Times New Roman"/>
          <w:bCs/>
          <w:sz w:val="24"/>
          <w:szCs w:val="24"/>
        </w:rPr>
        <w:t>establish an exception.</w:t>
      </w:r>
      <w:r w:rsidR="00CF6095">
        <w:rPr>
          <w:rFonts w:ascii="Times New Roman" w:hAnsi="Times New Roman" w:cs="Times New Roman"/>
          <w:bCs/>
          <w:sz w:val="24"/>
          <w:szCs w:val="24"/>
        </w:rPr>
        <w:t xml:space="preserve"> 503</w:t>
      </w:r>
    </w:p>
    <w:p w14:paraId="7492A799" w14:textId="77777777" w:rsidR="003F249A" w:rsidRDefault="003F249A" w:rsidP="003F249A">
      <w:pPr>
        <w:spacing w:after="0"/>
        <w:rPr>
          <w:rFonts w:ascii="Times New Roman" w:hAnsi="Times New Roman" w:cs="Times New Roman"/>
          <w:b/>
          <w:sz w:val="24"/>
          <w:szCs w:val="24"/>
        </w:rPr>
      </w:pPr>
    </w:p>
    <w:p w14:paraId="558BBFFF" w14:textId="60F6E716" w:rsidR="003F249A" w:rsidRPr="00DB6007" w:rsidRDefault="001908AA" w:rsidP="001908AA">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Sall v. Gonzales</w:t>
      </w:r>
      <w:r>
        <w:rPr>
          <w:rFonts w:ascii="Times New Roman" w:hAnsi="Times New Roman" w:cs="Times New Roman"/>
          <w:b/>
          <w:sz w:val="24"/>
          <w:szCs w:val="24"/>
        </w:rPr>
        <w:t>, 437 F.3d 229, 235 (2d Cir. 2006):</w:t>
      </w:r>
      <w:r w:rsidR="0049723C">
        <w:rPr>
          <w:rFonts w:ascii="Times New Roman" w:hAnsi="Times New Roman" w:cs="Times New Roman"/>
          <w:bCs/>
          <w:sz w:val="24"/>
          <w:szCs w:val="24"/>
        </w:rPr>
        <w:t xml:space="preserve"> “instructing the IJ to consider both whether the alien received an actual offer of permanent resident status in Senegal and other factors including his family ties, business and property connections, and whether he enjoyed the same legal rights to work and enter and leave the country as those who are permanently settled.” (LTA 364)</w:t>
      </w:r>
    </w:p>
    <w:p w14:paraId="303B319D" w14:textId="4AE86531" w:rsidR="00DB6007" w:rsidRPr="00D56DBD" w:rsidRDefault="00D56DBD" w:rsidP="00DB6007">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Adopts a “totality of the circumstances approach” 233</w:t>
      </w:r>
    </w:p>
    <w:p w14:paraId="2D28B201" w14:textId="210CAB3D" w:rsidR="00D56DBD" w:rsidRPr="001908AA" w:rsidRDefault="00D56DBD" w:rsidP="00D56DBD">
      <w:pPr>
        <w:pStyle w:val="ListParagraph"/>
        <w:numPr>
          <w:ilvl w:val="0"/>
          <w:numId w:val="1"/>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Tchitchui</w:t>
      </w:r>
      <w:proofErr w:type="spellEnd"/>
      <w:r>
        <w:rPr>
          <w:rFonts w:ascii="Times New Roman" w:hAnsi="Times New Roman" w:cs="Times New Roman"/>
          <w:b/>
          <w:i/>
          <w:iCs/>
          <w:sz w:val="24"/>
          <w:szCs w:val="24"/>
        </w:rPr>
        <w:t xml:space="preserve"> v. Holder</w:t>
      </w:r>
      <w:r>
        <w:rPr>
          <w:rFonts w:ascii="Times New Roman" w:hAnsi="Times New Roman" w:cs="Times New Roman"/>
          <w:b/>
          <w:sz w:val="24"/>
          <w:szCs w:val="24"/>
        </w:rPr>
        <w:t>, 657 F.3d 132, 135 (2d Cir. 2011):</w:t>
      </w:r>
      <w:r>
        <w:rPr>
          <w:rFonts w:ascii="Times New Roman" w:hAnsi="Times New Roman" w:cs="Times New Roman"/>
          <w:bCs/>
          <w:sz w:val="24"/>
          <w:szCs w:val="24"/>
        </w:rPr>
        <w:t xml:space="preserve"> </w:t>
      </w:r>
      <w:r w:rsidR="00966EC0">
        <w:rPr>
          <w:rFonts w:ascii="Times New Roman" w:hAnsi="Times New Roman" w:cs="Times New Roman"/>
          <w:bCs/>
          <w:sz w:val="24"/>
          <w:szCs w:val="24"/>
        </w:rPr>
        <w:t>burden on DHS to establish prima facie case of firm resettlement &amp; then burden shifts to noncitizen to show she qualifies for an exception.</w:t>
      </w:r>
    </w:p>
    <w:p w14:paraId="20453BC7" w14:textId="77777777" w:rsidR="00077658" w:rsidRPr="00630498" w:rsidRDefault="00077658" w:rsidP="00936658">
      <w:pPr>
        <w:spacing w:after="0"/>
        <w:rPr>
          <w:rFonts w:ascii="Times New Roman" w:hAnsi="Times New Roman" w:cs="Times New Roman"/>
          <w:b/>
          <w:sz w:val="24"/>
          <w:szCs w:val="24"/>
        </w:rPr>
      </w:pPr>
    </w:p>
    <w:p w14:paraId="20453BC8" w14:textId="77777777" w:rsidR="00077658" w:rsidRPr="00936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Relevant U.S. History:</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3A8A139A"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07EBFFF6" w14:textId="273EC343" w:rsidR="00CF6095" w:rsidRDefault="00CF6095" w:rsidP="00CF609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“An offer of firm resettlement may take different forms</w:t>
      </w:r>
      <w:r w:rsidR="00B2768D">
        <w:rPr>
          <w:rFonts w:ascii="Times New Roman" w:hAnsi="Times New Roman" w:cs="Times New Roman"/>
          <w:bCs/>
          <w:sz w:val="24"/>
          <w:szCs w:val="24"/>
        </w:rPr>
        <w:t>. While in some cases an offer of firm resettlement consists of a pathway to becoming a permanent resident or citizen of a third country, the regulation governing firm resettlement also contemplates an offer of ‘some other type of permanent resettlement.’ 8 C.F.R. § 1208.15</w:t>
      </w:r>
      <w:r w:rsidR="00763FF1">
        <w:rPr>
          <w:rFonts w:ascii="Times New Roman" w:hAnsi="Times New Roman" w:cs="Times New Roman"/>
          <w:bCs/>
          <w:sz w:val="24"/>
          <w:szCs w:val="24"/>
        </w:rPr>
        <w:t>.”</w:t>
      </w:r>
      <w:r w:rsidR="00763FF1">
        <w:rPr>
          <w:rFonts w:ascii="Times New Roman" w:hAnsi="Times New Roman" w:cs="Times New Roman"/>
          <w:bCs/>
          <w:sz w:val="24"/>
          <w:szCs w:val="24"/>
        </w:rPr>
        <w:tab/>
      </w:r>
      <w:r w:rsidR="00763FF1">
        <w:rPr>
          <w:rFonts w:ascii="Times New Roman" w:hAnsi="Times New Roman" w:cs="Times New Roman"/>
          <w:bCs/>
          <w:sz w:val="24"/>
          <w:szCs w:val="24"/>
        </w:rPr>
        <w:tab/>
        <w:t>365</w:t>
      </w:r>
    </w:p>
    <w:p w14:paraId="79A05AB8" w14:textId="641261C5" w:rsidR="00763FF1" w:rsidRDefault="00763FF1" w:rsidP="00CF6095">
      <w:pPr>
        <w:pStyle w:val="ListParagraph"/>
        <w:numPr>
          <w:ilvl w:val="0"/>
          <w:numId w:val="1"/>
        </w:numPr>
        <w:spacing w:after="0"/>
        <w:rPr>
          <w:rFonts w:ascii="Times New Roman" w:hAnsi="Times New Roman" w:cs="Times New Roman"/>
          <w:bCs/>
          <w:sz w:val="24"/>
          <w:szCs w:val="24"/>
        </w:rPr>
      </w:pPr>
      <w:proofErr w:type="gramStart"/>
      <w:r>
        <w:rPr>
          <w:rFonts w:ascii="Times New Roman" w:hAnsi="Times New Roman" w:cs="Times New Roman"/>
          <w:bCs/>
          <w:sz w:val="24"/>
          <w:szCs w:val="24"/>
        </w:rPr>
        <w:t>“</w:t>
      </w:r>
      <w:r w:rsidR="00BE0FF7">
        <w:rPr>
          <w:rFonts w:ascii="Times New Roman" w:hAnsi="Times New Roman" w:cs="Times New Roman"/>
          <w:bCs/>
          <w:sz w:val="24"/>
          <w:szCs w:val="24"/>
        </w:rPr>
        <w:t xml:space="preserve"> ‘</w:t>
      </w:r>
      <w:proofErr w:type="gramEnd"/>
      <w:r w:rsidR="00BE0FF7">
        <w:rPr>
          <w:rFonts w:ascii="Times New Roman" w:hAnsi="Times New Roman" w:cs="Times New Roman"/>
          <w:bCs/>
          <w:sz w:val="24"/>
          <w:szCs w:val="24"/>
        </w:rPr>
        <w:t>[O]</w:t>
      </w:r>
      <w:proofErr w:type="spellStart"/>
      <w:r w:rsidR="00BE0FF7">
        <w:rPr>
          <w:rFonts w:ascii="Times New Roman" w:hAnsi="Times New Roman" w:cs="Times New Roman"/>
          <w:bCs/>
          <w:sz w:val="24"/>
          <w:szCs w:val="24"/>
        </w:rPr>
        <w:t>ffers</w:t>
      </w:r>
      <w:proofErr w:type="spellEnd"/>
      <w:r w:rsidR="00BE0FF7">
        <w:rPr>
          <w:rFonts w:ascii="Times New Roman" w:hAnsi="Times New Roman" w:cs="Times New Roman"/>
          <w:bCs/>
          <w:sz w:val="24"/>
          <w:szCs w:val="24"/>
        </w:rPr>
        <w:t xml:space="preserve">’ of ‘some other type of permanent resettlement’ may not always include written documentation, much less formal state-issued identification cards.” </w:t>
      </w:r>
      <w:r w:rsidR="006B0532">
        <w:rPr>
          <w:rFonts w:ascii="Times New Roman" w:hAnsi="Times New Roman" w:cs="Times New Roman"/>
          <w:bCs/>
          <w:i/>
          <w:iCs/>
          <w:sz w:val="24"/>
          <w:szCs w:val="24"/>
        </w:rPr>
        <w:t>Sall v. Gonzalez</w:t>
      </w:r>
      <w:r w:rsidR="006B0532">
        <w:rPr>
          <w:rFonts w:ascii="Times New Roman" w:hAnsi="Times New Roman" w:cs="Times New Roman"/>
          <w:bCs/>
          <w:sz w:val="24"/>
          <w:szCs w:val="24"/>
        </w:rPr>
        <w:t xml:space="preserve"> at 233 [q.365]</w:t>
      </w:r>
    </w:p>
    <w:p w14:paraId="4BA25A08" w14:textId="00B05C57" w:rsidR="006B0532" w:rsidRDefault="006B0532" w:rsidP="00CF609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Indirect evidence = comparing what respondent received with what</w:t>
      </w:r>
      <w:r w:rsidR="002517B2">
        <w:rPr>
          <w:rFonts w:ascii="Times New Roman" w:hAnsi="Times New Roman" w:cs="Times New Roman"/>
          <w:bCs/>
          <w:sz w:val="24"/>
          <w:szCs w:val="24"/>
        </w:rPr>
        <w:t xml:space="preserve"> is normally given to people with official status (right to own property, entry &amp; exit liberty, right to work)</w:t>
      </w:r>
      <w:r w:rsidR="002517B2">
        <w:rPr>
          <w:rFonts w:ascii="Times New Roman" w:hAnsi="Times New Roman" w:cs="Times New Roman"/>
          <w:bCs/>
          <w:sz w:val="24"/>
          <w:szCs w:val="24"/>
        </w:rPr>
        <w:tab/>
        <w:t>365</w:t>
      </w:r>
      <w:r w:rsidR="00207E1F">
        <w:rPr>
          <w:rFonts w:ascii="Times New Roman" w:hAnsi="Times New Roman" w:cs="Times New Roman"/>
          <w:bCs/>
          <w:sz w:val="24"/>
          <w:szCs w:val="24"/>
        </w:rPr>
        <w:t xml:space="preserve">; </w:t>
      </w:r>
      <w:r w:rsidR="00207E1F">
        <w:rPr>
          <w:rFonts w:ascii="Times New Roman" w:hAnsi="Times New Roman" w:cs="Times New Roman"/>
          <w:bCs/>
          <w:i/>
          <w:iCs/>
          <w:sz w:val="24"/>
          <w:szCs w:val="24"/>
        </w:rPr>
        <w:t>Matter of A-G-G-</w:t>
      </w:r>
      <w:r w:rsidR="00207E1F">
        <w:rPr>
          <w:rFonts w:ascii="Times New Roman" w:hAnsi="Times New Roman" w:cs="Times New Roman"/>
          <w:bCs/>
          <w:sz w:val="24"/>
          <w:szCs w:val="24"/>
        </w:rPr>
        <w:t xml:space="preserve"> at 502; </w:t>
      </w:r>
      <w:r w:rsidR="00207E1F">
        <w:rPr>
          <w:rFonts w:ascii="Times New Roman" w:hAnsi="Times New Roman" w:cs="Times New Roman"/>
          <w:bCs/>
          <w:i/>
          <w:iCs/>
          <w:sz w:val="24"/>
          <w:szCs w:val="24"/>
        </w:rPr>
        <w:t>Sall</w:t>
      </w:r>
      <w:r w:rsidR="00207E1F">
        <w:rPr>
          <w:rFonts w:ascii="Times New Roman" w:hAnsi="Times New Roman" w:cs="Times New Roman"/>
          <w:bCs/>
          <w:sz w:val="24"/>
          <w:szCs w:val="24"/>
        </w:rPr>
        <w:t xml:space="preserve"> at 235.</w:t>
      </w:r>
    </w:p>
    <w:p w14:paraId="3165EE93" w14:textId="71BF9F47" w:rsidR="002D7704" w:rsidRDefault="002D7704" w:rsidP="00CF609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In this case, DHS presented indirect evidence:</w:t>
      </w:r>
    </w:p>
    <w:p w14:paraId="5E593061" w14:textId="017A0D44" w:rsidR="002D7704" w:rsidRDefault="00C8577D" w:rsidP="002D770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Country conditions documents </w:t>
      </w:r>
      <w:r w:rsidR="00216302">
        <w:rPr>
          <w:rFonts w:ascii="Times New Roman" w:hAnsi="Times New Roman" w:cs="Times New Roman"/>
          <w:bCs/>
          <w:sz w:val="24"/>
          <w:szCs w:val="24"/>
        </w:rPr>
        <w:t>including</w:t>
      </w:r>
      <w:r>
        <w:rPr>
          <w:rFonts w:ascii="Times New Roman" w:hAnsi="Times New Roman" w:cs="Times New Roman"/>
          <w:bCs/>
          <w:sz w:val="24"/>
          <w:szCs w:val="24"/>
        </w:rPr>
        <w:t xml:space="preserve"> 1950 Treaty of Peace and Friendship entre India &amp; Nepal</w:t>
      </w:r>
      <w:r w:rsidR="006B3E76">
        <w:rPr>
          <w:rFonts w:ascii="Times New Roman" w:hAnsi="Times New Roman" w:cs="Times New Roman"/>
          <w:bCs/>
          <w:sz w:val="24"/>
          <w:szCs w:val="24"/>
        </w:rPr>
        <w:t xml:space="preserve"> </w:t>
      </w:r>
      <w:r w:rsidR="006E6AEA">
        <w:rPr>
          <w:rFonts w:ascii="Times New Roman" w:hAnsi="Times New Roman" w:cs="Times New Roman"/>
          <w:bCs/>
          <w:sz w:val="24"/>
          <w:szCs w:val="24"/>
        </w:rPr>
        <w:t>–</w:t>
      </w:r>
      <w:r w:rsidR="006B3E76">
        <w:rPr>
          <w:rFonts w:ascii="Times New Roman" w:hAnsi="Times New Roman" w:cs="Times New Roman"/>
          <w:bCs/>
          <w:sz w:val="24"/>
          <w:szCs w:val="24"/>
        </w:rPr>
        <w:t xml:space="preserve"> </w:t>
      </w:r>
      <w:r w:rsidR="006E6AEA">
        <w:rPr>
          <w:rFonts w:ascii="Times New Roman" w:hAnsi="Times New Roman" w:cs="Times New Roman"/>
          <w:bCs/>
          <w:sz w:val="24"/>
          <w:szCs w:val="24"/>
        </w:rPr>
        <w:t>citizens can pass across the border just with passports, no visa necessary. They can live or work in either country and own property or do trade or business.</w:t>
      </w:r>
      <w:r w:rsidR="00F861B0">
        <w:rPr>
          <w:rFonts w:ascii="Times New Roman" w:hAnsi="Times New Roman" w:cs="Times New Roman"/>
          <w:bCs/>
          <w:sz w:val="24"/>
          <w:szCs w:val="24"/>
        </w:rPr>
        <w:tab/>
      </w:r>
      <w:r w:rsidR="00F861B0">
        <w:rPr>
          <w:rFonts w:ascii="Times New Roman" w:hAnsi="Times New Roman" w:cs="Times New Roman"/>
          <w:bCs/>
          <w:sz w:val="24"/>
          <w:szCs w:val="24"/>
        </w:rPr>
        <w:tab/>
        <w:t>366</w:t>
      </w:r>
    </w:p>
    <w:p w14:paraId="350B5F8D" w14:textId="61427765" w:rsidR="008D5888" w:rsidRDefault="00651C38" w:rsidP="008D5888">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Respondent did not rebut the evidence – she argued she hadn’t been given official legal status in India, </w:t>
      </w:r>
      <w:r w:rsidR="00E22E71">
        <w:rPr>
          <w:rFonts w:ascii="Times New Roman" w:hAnsi="Times New Roman" w:cs="Times New Roman"/>
          <w:bCs/>
          <w:sz w:val="24"/>
          <w:szCs w:val="24"/>
        </w:rPr>
        <w:t xml:space="preserve">but she fits the description of </w:t>
      </w:r>
      <w:r w:rsidR="00E07318">
        <w:rPr>
          <w:rFonts w:ascii="Times New Roman" w:hAnsi="Times New Roman" w:cs="Times New Roman"/>
          <w:bCs/>
          <w:sz w:val="24"/>
          <w:szCs w:val="24"/>
        </w:rPr>
        <w:t>“some other type of permanent resettlement” because she could continue to live and work there indefinitely.</w:t>
      </w:r>
      <w:r w:rsidR="00DD1CCC">
        <w:rPr>
          <w:rFonts w:ascii="Times New Roman" w:hAnsi="Times New Roman" w:cs="Times New Roman"/>
          <w:bCs/>
          <w:sz w:val="24"/>
          <w:szCs w:val="24"/>
        </w:rPr>
        <w:tab/>
        <w:t>368</w:t>
      </w:r>
    </w:p>
    <w:p w14:paraId="70F399F4" w14:textId="3F194E99" w:rsidR="00E75132" w:rsidRPr="00CF6095" w:rsidRDefault="00E75132" w:rsidP="008D5888">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She also tried to argue that the Maoists could threaten and hurt her in India, too</w:t>
      </w:r>
      <w:r w:rsidR="00DD1CCC">
        <w:rPr>
          <w:rFonts w:ascii="Times New Roman" w:hAnsi="Times New Roman" w:cs="Times New Roman"/>
          <w:bCs/>
          <w:sz w:val="24"/>
          <w:szCs w:val="24"/>
        </w:rPr>
        <w:t>, but didn’t submit any evidence supporting this.</w:t>
      </w:r>
      <w:r w:rsidR="00F861B0">
        <w:rPr>
          <w:rFonts w:ascii="Times New Roman" w:hAnsi="Times New Roman" w:cs="Times New Roman"/>
          <w:bCs/>
          <w:sz w:val="24"/>
          <w:szCs w:val="24"/>
        </w:rPr>
        <w:tab/>
        <w:t>368</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77777777"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Commentary:</w:t>
      </w:r>
    </w:p>
    <w:p w14:paraId="24CF9FE1" w14:textId="7374481A" w:rsidR="001F0332" w:rsidRPr="00727B89" w:rsidRDefault="001F0332" w:rsidP="00727B8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Additional Evidence:</w:t>
      </w:r>
      <w:r w:rsidR="00727B89">
        <w:rPr>
          <w:rFonts w:ascii="Times New Roman" w:hAnsi="Times New Roman" w:cs="Times New Roman"/>
          <w:bCs/>
          <w:sz w:val="24"/>
          <w:szCs w:val="24"/>
        </w:rPr>
        <w:t xml:space="preserve"> </w:t>
      </w:r>
      <w:r w:rsidR="004B6EA4" w:rsidRPr="00727B89">
        <w:rPr>
          <w:rFonts w:ascii="Times New Roman" w:hAnsi="Times New Roman" w:cs="Times New Roman"/>
          <w:bCs/>
          <w:sz w:val="24"/>
          <w:szCs w:val="24"/>
        </w:rPr>
        <w:t>“which we construe as a motion to remand”</w:t>
      </w:r>
      <w:r w:rsidR="004B6EA4" w:rsidRPr="00727B89">
        <w:rPr>
          <w:rFonts w:ascii="Times New Roman" w:hAnsi="Times New Roman" w:cs="Times New Roman"/>
          <w:bCs/>
          <w:sz w:val="24"/>
          <w:szCs w:val="24"/>
        </w:rPr>
        <w:tab/>
        <w:t>362</w:t>
      </w:r>
      <w:r w:rsidR="00F861B0" w:rsidRPr="00727B89">
        <w:rPr>
          <w:rFonts w:ascii="Times New Roman" w:hAnsi="Times New Roman" w:cs="Times New Roman"/>
          <w:bCs/>
          <w:sz w:val="24"/>
          <w:szCs w:val="24"/>
        </w:rPr>
        <w:t xml:space="preserve"> – denied </w:t>
      </w:r>
      <w:proofErr w:type="spellStart"/>
      <w:r w:rsidR="00F861B0" w:rsidRPr="00727B89">
        <w:rPr>
          <w:rFonts w:ascii="Times New Roman" w:hAnsi="Times New Roman" w:cs="Times New Roman"/>
          <w:bCs/>
          <w:sz w:val="24"/>
          <w:szCs w:val="24"/>
        </w:rPr>
        <w:t>bcz</w:t>
      </w:r>
      <w:proofErr w:type="spellEnd"/>
      <w:r w:rsidR="00F861B0" w:rsidRPr="00727B89">
        <w:rPr>
          <w:rFonts w:ascii="Times New Roman" w:hAnsi="Times New Roman" w:cs="Times New Roman"/>
          <w:bCs/>
          <w:sz w:val="24"/>
          <w:szCs w:val="24"/>
        </w:rPr>
        <w:t xml:space="preserve"> </w:t>
      </w:r>
      <w:r w:rsidR="00727B89" w:rsidRPr="00727B89">
        <w:rPr>
          <w:rFonts w:ascii="Times New Roman" w:hAnsi="Times New Roman" w:cs="Times New Roman"/>
          <w:bCs/>
          <w:sz w:val="24"/>
          <w:szCs w:val="24"/>
        </w:rPr>
        <w:t>would not have changed the outcome WRT the firm resettlement bar.</w:t>
      </w:r>
      <w:r w:rsidR="00727B89">
        <w:rPr>
          <w:rFonts w:ascii="Times New Roman" w:hAnsi="Times New Roman" w:cs="Times New Roman"/>
          <w:bCs/>
          <w:sz w:val="24"/>
          <w:szCs w:val="24"/>
        </w:rPr>
        <w:tab/>
        <w:t>369</w:t>
      </w:r>
    </w:p>
    <w:sectPr w:rsidR="001F0332" w:rsidRPr="00727B89"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2282C" w14:textId="77777777" w:rsidR="00384174" w:rsidRDefault="00384174" w:rsidP="00077658">
      <w:pPr>
        <w:spacing w:after="0" w:line="240" w:lineRule="auto"/>
      </w:pPr>
      <w:r>
        <w:separator/>
      </w:r>
    </w:p>
  </w:endnote>
  <w:endnote w:type="continuationSeparator" w:id="0">
    <w:p w14:paraId="55ED2AB3" w14:textId="77777777" w:rsidR="00384174" w:rsidRDefault="00384174" w:rsidP="00077658">
      <w:pPr>
        <w:spacing w:after="0" w:line="240" w:lineRule="auto"/>
      </w:pPr>
      <w:r>
        <w:continuationSeparator/>
      </w:r>
    </w:p>
  </w:endnote>
  <w:endnote w:type="continuationNotice" w:id="1">
    <w:p w14:paraId="41886A1F" w14:textId="77777777" w:rsidR="00384174" w:rsidRDefault="003841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67E947" w14:textId="77777777" w:rsidR="00384174" w:rsidRDefault="00384174" w:rsidP="00077658">
      <w:pPr>
        <w:spacing w:after="0" w:line="240" w:lineRule="auto"/>
      </w:pPr>
      <w:r>
        <w:separator/>
      </w:r>
    </w:p>
  </w:footnote>
  <w:footnote w:type="continuationSeparator" w:id="0">
    <w:p w14:paraId="34BC3CAB" w14:textId="77777777" w:rsidR="00384174" w:rsidRDefault="00384174" w:rsidP="00077658">
      <w:pPr>
        <w:spacing w:after="0" w:line="240" w:lineRule="auto"/>
      </w:pPr>
      <w:r>
        <w:continuationSeparator/>
      </w:r>
    </w:p>
  </w:footnote>
  <w:footnote w:type="continuationNotice" w:id="1">
    <w:p w14:paraId="51446B08" w14:textId="77777777" w:rsidR="00384174" w:rsidRDefault="003841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53BD1" w14:textId="77DACDA3" w:rsidR="00077658" w:rsidRDefault="00886489">
    <w:pPr>
      <w:pStyle w:val="Header"/>
    </w:pPr>
    <w:r>
      <w:t>BIA</w:t>
    </w:r>
    <w:r w:rsidR="00077658">
      <w:ptab w:relativeTo="margin" w:alignment="center" w:leader="none"/>
    </w:r>
    <w:r w:rsidR="00A27EE7">
      <w:t xml:space="preserve">December 18, </w:t>
    </w:r>
    <w:proofErr w:type="gramStart"/>
    <w:r w:rsidR="00A27EE7">
      <w:t>2025</w:t>
    </w:r>
    <w:proofErr w:type="gramEnd"/>
    <w:r w:rsidR="0075022B">
      <w:t xml:space="preserve"> </w:t>
    </w:r>
    <w:r w:rsidR="00077658" w:rsidRPr="00A27EE7">
      <w:rPr>
        <w:b/>
        <w:bCs/>
      </w:rPr>
      <w:ptab w:relativeTo="margin" w:alignment="right" w:leader="none"/>
    </w:r>
    <w:r w:rsidR="00A27EE7" w:rsidRPr="00A27EE7">
      <w:rPr>
        <w:b/>
        <w:bCs/>
      </w:rPr>
      <w:t>Matter of L-T-A-</w:t>
    </w:r>
  </w:p>
  <w:p w14:paraId="20453BD2" w14:textId="2B352E6E" w:rsidR="00077658" w:rsidRDefault="00A27EE7" w:rsidP="00077658">
    <w:pPr>
      <w:pStyle w:val="Header"/>
      <w:jc w:val="right"/>
    </w:pPr>
    <w:r>
      <w:t>FIRM RESETTLEMENT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04F8F"/>
    <w:multiLevelType w:val="hybridMultilevel"/>
    <w:tmpl w:val="F0C2FA66"/>
    <w:lvl w:ilvl="0" w:tplc="28DCFA88">
      <w:start w:val="1"/>
      <w:numFmt w:val="decimal"/>
      <w:lvlText w:val="%1."/>
      <w:lvlJc w:val="left"/>
      <w:pPr>
        <w:ind w:left="1620" w:hanging="360"/>
      </w:pPr>
      <w:rPr>
        <w:rFonts w:hint="default"/>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 w15:restartNumberingAfterBreak="0">
    <w:nsid w:val="4B246050"/>
    <w:multiLevelType w:val="hybridMultilevel"/>
    <w:tmpl w:val="5ED0B0F8"/>
    <w:lvl w:ilvl="0" w:tplc="29B0ADDC">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7815139">
    <w:abstractNumId w:val="1"/>
  </w:num>
  <w:num w:numId="2" w16cid:durableId="1885671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33281"/>
    <w:rsid w:val="000745FA"/>
    <w:rsid w:val="00077658"/>
    <w:rsid w:val="00144381"/>
    <w:rsid w:val="001908AA"/>
    <w:rsid w:val="001A75D6"/>
    <w:rsid w:val="001F0332"/>
    <w:rsid w:val="00207E1F"/>
    <w:rsid w:val="00216302"/>
    <w:rsid w:val="00232AF4"/>
    <w:rsid w:val="00250982"/>
    <w:rsid w:val="002517B2"/>
    <w:rsid w:val="00297C6B"/>
    <w:rsid w:val="002B2B49"/>
    <w:rsid w:val="002D7704"/>
    <w:rsid w:val="002F62B3"/>
    <w:rsid w:val="003221EB"/>
    <w:rsid w:val="00356A9A"/>
    <w:rsid w:val="00374C08"/>
    <w:rsid w:val="00384174"/>
    <w:rsid w:val="003F249A"/>
    <w:rsid w:val="00414A71"/>
    <w:rsid w:val="0045581B"/>
    <w:rsid w:val="0049723C"/>
    <w:rsid w:val="004B6EA4"/>
    <w:rsid w:val="00524AA5"/>
    <w:rsid w:val="0057470B"/>
    <w:rsid w:val="005E2E30"/>
    <w:rsid w:val="00613665"/>
    <w:rsid w:val="00630498"/>
    <w:rsid w:val="00651C38"/>
    <w:rsid w:val="00671A0D"/>
    <w:rsid w:val="006A2373"/>
    <w:rsid w:val="006B0532"/>
    <w:rsid w:val="006B3E76"/>
    <w:rsid w:val="006E6AEA"/>
    <w:rsid w:val="00711578"/>
    <w:rsid w:val="0071361E"/>
    <w:rsid w:val="00724073"/>
    <w:rsid w:val="00727B89"/>
    <w:rsid w:val="0075022B"/>
    <w:rsid w:val="00763FF1"/>
    <w:rsid w:val="00836C9E"/>
    <w:rsid w:val="00866B85"/>
    <w:rsid w:val="00886489"/>
    <w:rsid w:val="00887D00"/>
    <w:rsid w:val="008C6DFE"/>
    <w:rsid w:val="008D5888"/>
    <w:rsid w:val="00936658"/>
    <w:rsid w:val="00966EC0"/>
    <w:rsid w:val="009E737C"/>
    <w:rsid w:val="009F7107"/>
    <w:rsid w:val="00A27EE7"/>
    <w:rsid w:val="00A41303"/>
    <w:rsid w:val="00A75125"/>
    <w:rsid w:val="00A91E86"/>
    <w:rsid w:val="00AF0C01"/>
    <w:rsid w:val="00B01B26"/>
    <w:rsid w:val="00B13A5E"/>
    <w:rsid w:val="00B2768D"/>
    <w:rsid w:val="00B667B1"/>
    <w:rsid w:val="00BC6D2D"/>
    <w:rsid w:val="00BE0FF7"/>
    <w:rsid w:val="00BF2E3C"/>
    <w:rsid w:val="00C52C69"/>
    <w:rsid w:val="00C8577D"/>
    <w:rsid w:val="00CE3661"/>
    <w:rsid w:val="00CE41B9"/>
    <w:rsid w:val="00CF6095"/>
    <w:rsid w:val="00D46A91"/>
    <w:rsid w:val="00D50264"/>
    <w:rsid w:val="00D56DBD"/>
    <w:rsid w:val="00DB6007"/>
    <w:rsid w:val="00DD1CCC"/>
    <w:rsid w:val="00E07318"/>
    <w:rsid w:val="00E22E71"/>
    <w:rsid w:val="00E75132"/>
    <w:rsid w:val="00EA3C93"/>
    <w:rsid w:val="00F313E8"/>
    <w:rsid w:val="00F54447"/>
    <w:rsid w:val="00F57981"/>
    <w:rsid w:val="00F84A37"/>
    <w:rsid w:val="00F861B0"/>
    <w:rsid w:val="00F95EDA"/>
    <w:rsid w:val="00FB2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3221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798</Words>
  <Characters>4151</Characters>
  <Application>Microsoft Office Word</Application>
  <DocSecurity>0</DocSecurity>
  <Lines>81</Lines>
  <Paragraphs>41</Paragraphs>
  <ScaleCrop>false</ScaleCrop>
  <Company>Hewlett-Packard Company</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2026-03-15T20:58:00Z</dcterms:created>
  <dcterms:modified xsi:type="dcterms:W3CDTF">2026-03-15T20:58:00Z</dcterms:modified>
</cp:coreProperties>
</file>