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453BB7" w14:textId="32CF4412" w:rsidR="00CE41B9" w:rsidRDefault="00077658" w:rsidP="0093665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Immigration Court:</w:t>
      </w:r>
      <w:r w:rsidR="00524AA5">
        <w:rPr>
          <w:rFonts w:ascii="Times New Roman" w:hAnsi="Times New Roman" w:cs="Times New Roman"/>
          <w:b/>
          <w:sz w:val="24"/>
          <w:szCs w:val="24"/>
        </w:rPr>
        <w:t xml:space="preserve"> BIA</w:t>
      </w:r>
    </w:p>
    <w:p w14:paraId="712880B6" w14:textId="77777777" w:rsidR="009B7BB5" w:rsidRPr="00936658" w:rsidRDefault="009B7BB5" w:rsidP="0093665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0453BB8" w14:textId="7DAB5B48" w:rsidR="00077658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Case:</w:t>
      </w:r>
      <w:r w:rsidRPr="00936658">
        <w:rPr>
          <w:rFonts w:ascii="Times New Roman" w:hAnsi="Times New Roman" w:cs="Times New Roman"/>
          <w:b/>
          <w:sz w:val="24"/>
          <w:szCs w:val="24"/>
        </w:rPr>
        <w:tab/>
      </w:r>
      <w:r w:rsidR="009B7BB5">
        <w:rPr>
          <w:rFonts w:ascii="Times New Roman" w:hAnsi="Times New Roman" w:cs="Times New Roman"/>
          <w:b/>
          <w:i/>
          <w:iCs/>
          <w:sz w:val="24"/>
          <w:szCs w:val="24"/>
        </w:rPr>
        <w:t>Matter of S-E-M-Z-</w:t>
      </w:r>
      <w:r w:rsidR="009B7BB5">
        <w:rPr>
          <w:rFonts w:ascii="Times New Roman" w:hAnsi="Times New Roman" w:cs="Times New Roman"/>
          <w:b/>
          <w:sz w:val="24"/>
          <w:szCs w:val="24"/>
        </w:rPr>
        <w:t xml:space="preserve">, 29 I&amp;N Dec. </w:t>
      </w:r>
      <w:r w:rsidR="00417F16">
        <w:rPr>
          <w:rFonts w:ascii="Times New Roman" w:hAnsi="Times New Roman" w:cs="Times New Roman"/>
          <w:b/>
          <w:sz w:val="24"/>
          <w:szCs w:val="24"/>
        </w:rPr>
        <w:t>(BIA 2026)</w:t>
      </w:r>
      <w:r w:rsidRPr="00936658">
        <w:rPr>
          <w:rFonts w:ascii="Times New Roman" w:hAnsi="Times New Roman" w:cs="Times New Roman"/>
          <w:b/>
          <w:sz w:val="24"/>
          <w:szCs w:val="24"/>
        </w:rPr>
        <w:tab/>
      </w:r>
      <w:r w:rsidRPr="00936658">
        <w:rPr>
          <w:rFonts w:ascii="Times New Roman" w:hAnsi="Times New Roman" w:cs="Times New Roman"/>
          <w:b/>
          <w:sz w:val="24"/>
          <w:szCs w:val="24"/>
        </w:rPr>
        <w:tab/>
      </w:r>
      <w:r w:rsidRPr="00936658">
        <w:rPr>
          <w:rFonts w:ascii="Times New Roman" w:hAnsi="Times New Roman" w:cs="Times New Roman"/>
          <w:b/>
          <w:sz w:val="24"/>
          <w:szCs w:val="24"/>
        </w:rPr>
        <w:tab/>
        <w:t>Date:</w:t>
      </w:r>
      <w:r w:rsidR="00417F16">
        <w:rPr>
          <w:rFonts w:ascii="Times New Roman" w:hAnsi="Times New Roman" w:cs="Times New Roman"/>
          <w:bCs/>
          <w:sz w:val="24"/>
          <w:szCs w:val="24"/>
        </w:rPr>
        <w:t xml:space="preserve"> June 5, 2026</w:t>
      </w:r>
    </w:p>
    <w:p w14:paraId="0EECFF4E" w14:textId="77777777" w:rsidR="00417F16" w:rsidRPr="00417F16" w:rsidRDefault="00417F16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14:paraId="20453BBA" w14:textId="5FAFB56E" w:rsidR="00077658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Adjudicated by:</w:t>
      </w:r>
      <w:r w:rsidR="00417F1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4787E">
        <w:rPr>
          <w:rFonts w:ascii="Times New Roman" w:hAnsi="Times New Roman" w:cs="Times New Roman"/>
          <w:bCs/>
          <w:sz w:val="24"/>
          <w:szCs w:val="24"/>
        </w:rPr>
        <w:t>Malphrus,, Gemoets, McCloskey</w:t>
      </w:r>
      <w:r w:rsidRPr="00936658">
        <w:rPr>
          <w:rFonts w:ascii="Times New Roman" w:hAnsi="Times New Roman" w:cs="Times New Roman"/>
          <w:b/>
          <w:sz w:val="24"/>
          <w:szCs w:val="24"/>
        </w:rPr>
        <w:tab/>
      </w:r>
      <w:r w:rsidRPr="00936658">
        <w:rPr>
          <w:rFonts w:ascii="Times New Roman" w:hAnsi="Times New Roman" w:cs="Times New Roman"/>
          <w:b/>
          <w:sz w:val="24"/>
          <w:szCs w:val="24"/>
        </w:rPr>
        <w:tab/>
      </w:r>
      <w:r w:rsidRPr="00936658">
        <w:rPr>
          <w:rFonts w:ascii="Times New Roman" w:hAnsi="Times New Roman" w:cs="Times New Roman"/>
          <w:b/>
          <w:sz w:val="24"/>
          <w:szCs w:val="24"/>
        </w:rPr>
        <w:tab/>
        <w:t>Opinion:</w:t>
      </w:r>
      <w:r w:rsidR="00F4787E">
        <w:rPr>
          <w:rFonts w:ascii="Times New Roman" w:hAnsi="Times New Roman" w:cs="Times New Roman"/>
          <w:bCs/>
          <w:sz w:val="24"/>
          <w:szCs w:val="24"/>
        </w:rPr>
        <w:t xml:space="preserve"> Gemoets</w:t>
      </w:r>
    </w:p>
    <w:p w14:paraId="36B6893D" w14:textId="77777777" w:rsidR="00F4787E" w:rsidRPr="00F4787E" w:rsidRDefault="00F4787E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14:paraId="20453BBB" w14:textId="3037E6FA" w:rsidR="00077658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F4787E">
        <w:rPr>
          <w:rFonts w:ascii="Times New Roman" w:hAnsi="Times New Roman" w:cs="Times New Roman"/>
          <w:b/>
          <w:sz w:val="24"/>
          <w:szCs w:val="24"/>
        </w:rPr>
        <w:t>Tags:</w:t>
      </w:r>
      <w:r w:rsidR="00F4787E" w:rsidRPr="00F4787E">
        <w:rPr>
          <w:rFonts w:ascii="Times New Roman" w:hAnsi="Times New Roman" w:cs="Times New Roman"/>
          <w:bCs/>
          <w:sz w:val="24"/>
          <w:szCs w:val="24"/>
        </w:rPr>
        <w:t xml:space="preserve"> Asylum,</w:t>
      </w:r>
      <w:r w:rsidR="00594E3D">
        <w:rPr>
          <w:rFonts w:ascii="Times New Roman" w:hAnsi="Times New Roman" w:cs="Times New Roman"/>
          <w:bCs/>
          <w:sz w:val="24"/>
          <w:szCs w:val="24"/>
        </w:rPr>
        <w:t xml:space="preserve"> Withholding,</w:t>
      </w:r>
      <w:r w:rsidR="00F4787E" w:rsidRPr="00F4787E">
        <w:rPr>
          <w:rFonts w:ascii="Times New Roman" w:hAnsi="Times New Roman" w:cs="Times New Roman"/>
          <w:bCs/>
          <w:sz w:val="24"/>
          <w:szCs w:val="24"/>
        </w:rPr>
        <w:t xml:space="preserve"> Particular Social Group</w:t>
      </w:r>
      <w:r w:rsidR="00F4787E">
        <w:rPr>
          <w:rFonts w:ascii="Times New Roman" w:hAnsi="Times New Roman" w:cs="Times New Roman"/>
          <w:bCs/>
          <w:sz w:val="24"/>
          <w:szCs w:val="24"/>
        </w:rPr>
        <w:t>s, Social Distinction</w:t>
      </w:r>
      <w:r w:rsidR="00932BDD">
        <w:rPr>
          <w:rFonts w:ascii="Times New Roman" w:hAnsi="Times New Roman" w:cs="Times New Roman"/>
          <w:bCs/>
          <w:sz w:val="24"/>
          <w:szCs w:val="24"/>
        </w:rPr>
        <w:t>, family-based PSG</w:t>
      </w:r>
      <w:r w:rsidR="00946B28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2F1370">
        <w:rPr>
          <w:rFonts w:ascii="Times New Roman" w:hAnsi="Times New Roman" w:cs="Times New Roman"/>
          <w:bCs/>
          <w:sz w:val="24"/>
          <w:szCs w:val="24"/>
        </w:rPr>
        <w:t>private-actor-based PSGs</w:t>
      </w:r>
    </w:p>
    <w:p w14:paraId="0135F352" w14:textId="77777777" w:rsidR="00A53DDF" w:rsidRPr="00F4787E" w:rsidRDefault="00A53DDF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14:paraId="20453BBC" w14:textId="0F570681" w:rsidR="00077658" w:rsidRPr="00A53DDF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Question Presented:</w:t>
      </w:r>
      <w:r w:rsidR="00A53DDF">
        <w:rPr>
          <w:rFonts w:ascii="Times New Roman" w:hAnsi="Times New Roman" w:cs="Times New Roman"/>
          <w:bCs/>
          <w:sz w:val="24"/>
          <w:szCs w:val="24"/>
        </w:rPr>
        <w:t xml:space="preserve"> When determining “social distinction</w:t>
      </w:r>
      <w:r w:rsidR="00B20666">
        <w:rPr>
          <w:rFonts w:ascii="Times New Roman" w:hAnsi="Times New Roman" w:cs="Times New Roman"/>
          <w:bCs/>
          <w:sz w:val="24"/>
          <w:szCs w:val="24"/>
        </w:rPr>
        <w:t xml:space="preserve"> within the society in question</w:t>
      </w:r>
      <w:r w:rsidR="00A53DDF">
        <w:rPr>
          <w:rFonts w:ascii="Times New Roman" w:hAnsi="Times New Roman" w:cs="Times New Roman"/>
          <w:bCs/>
          <w:sz w:val="24"/>
          <w:szCs w:val="24"/>
        </w:rPr>
        <w:t>”</w:t>
      </w:r>
      <w:r w:rsidR="00B20666">
        <w:rPr>
          <w:rFonts w:ascii="Times New Roman" w:hAnsi="Times New Roman" w:cs="Times New Roman"/>
          <w:bCs/>
          <w:sz w:val="24"/>
          <w:szCs w:val="24"/>
        </w:rPr>
        <w:t xml:space="preserve"> (per </w:t>
      </w:r>
      <w:r w:rsidR="00B20666">
        <w:rPr>
          <w:rFonts w:ascii="Times New Roman" w:hAnsi="Times New Roman" w:cs="Times New Roman"/>
          <w:bCs/>
          <w:i/>
          <w:iCs/>
          <w:sz w:val="24"/>
          <w:szCs w:val="24"/>
        </w:rPr>
        <w:t>W-G-R-</w:t>
      </w:r>
      <w:r w:rsidR="00B20666">
        <w:rPr>
          <w:rFonts w:ascii="Times New Roman" w:hAnsi="Times New Roman" w:cs="Times New Roman"/>
          <w:bCs/>
          <w:sz w:val="24"/>
          <w:szCs w:val="24"/>
        </w:rPr>
        <w:t>), what</w:t>
      </w:r>
      <w:r w:rsidR="00A53DDF">
        <w:rPr>
          <w:rFonts w:ascii="Times New Roman" w:hAnsi="Times New Roman" w:cs="Times New Roman"/>
          <w:bCs/>
          <w:sz w:val="24"/>
          <w:szCs w:val="24"/>
        </w:rPr>
        <w:t xml:space="preserve">  “society” is in question?</w:t>
      </w:r>
    </w:p>
    <w:p w14:paraId="20453BBD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BE" w14:textId="0D2BD380" w:rsidR="00077658" w:rsidRPr="00A53DDF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Holdings:</w:t>
      </w:r>
      <w:r w:rsidR="00A53DDF">
        <w:rPr>
          <w:rFonts w:ascii="Times New Roman" w:hAnsi="Times New Roman" w:cs="Times New Roman"/>
          <w:bCs/>
          <w:sz w:val="24"/>
          <w:szCs w:val="24"/>
        </w:rPr>
        <w:t xml:space="preserve"> “The ‘social distinction’ element of a particular social group must generally be measured on a countrywide basis, rather than from the perspective of a neighborhood or other limited geographic location within a country.”</w:t>
      </w:r>
      <w:r w:rsidR="009E6A6E">
        <w:rPr>
          <w:rFonts w:ascii="Times New Roman" w:hAnsi="Times New Roman" w:cs="Times New Roman"/>
          <w:bCs/>
          <w:sz w:val="24"/>
          <w:szCs w:val="24"/>
        </w:rPr>
        <w:tab/>
        <w:t>680</w:t>
      </w:r>
    </w:p>
    <w:p w14:paraId="20453BBF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C0" w14:textId="5F5175A9" w:rsidR="00077658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Rationale:</w:t>
      </w:r>
      <w:r w:rsidR="009B492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56E71">
        <w:rPr>
          <w:rFonts w:ascii="Times New Roman" w:hAnsi="Times New Roman" w:cs="Times New Roman"/>
          <w:bCs/>
          <w:sz w:val="24"/>
          <w:szCs w:val="24"/>
        </w:rPr>
        <w:t>Nuclear family must be recognized by “society in question</w:t>
      </w:r>
      <w:r w:rsidR="00393B73">
        <w:rPr>
          <w:rFonts w:ascii="Times New Roman" w:hAnsi="Times New Roman" w:cs="Times New Roman"/>
          <w:bCs/>
          <w:sz w:val="24"/>
          <w:szCs w:val="24"/>
        </w:rPr>
        <w:t xml:space="preserve">,” meaning the whole nation. 682 </w:t>
      </w:r>
    </w:p>
    <w:p w14:paraId="6A900798" w14:textId="73B9DB79" w:rsidR="00393B73" w:rsidRPr="00393B73" w:rsidRDefault="00393B73" w:rsidP="00393B73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“Adherence to this scope of inquiry is consistent with the concept of a refugee as being unable to return to a </w:t>
      </w:r>
      <w:r>
        <w:rPr>
          <w:rFonts w:ascii="Times New Roman" w:hAnsi="Times New Roman" w:cs="Times New Roman"/>
          <w:b/>
          <w:sz w:val="24"/>
          <w:szCs w:val="24"/>
        </w:rPr>
        <w:t>country</w:t>
      </w:r>
      <w:r>
        <w:rPr>
          <w:rFonts w:ascii="Times New Roman" w:hAnsi="Times New Roman" w:cs="Times New Roman"/>
          <w:bCs/>
          <w:sz w:val="24"/>
          <w:szCs w:val="24"/>
        </w:rPr>
        <w:t xml:space="preserve"> as opposed to a solitary neighborhood or limited geographic location within such country.” 682 (emphasis added)</w:t>
      </w:r>
    </w:p>
    <w:p w14:paraId="20453BC1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C2" w14:textId="4362FED4" w:rsidR="00077658" w:rsidRPr="001C5D5A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Facts:</w:t>
      </w:r>
      <w:r w:rsidR="001C5D5A">
        <w:rPr>
          <w:rFonts w:ascii="Times New Roman" w:hAnsi="Times New Roman" w:cs="Times New Roman"/>
          <w:bCs/>
          <w:sz w:val="24"/>
          <w:szCs w:val="24"/>
        </w:rPr>
        <w:t xml:space="preserve"> 680. Honduras. </w:t>
      </w:r>
      <w:r w:rsidR="0065109E">
        <w:rPr>
          <w:rFonts w:ascii="Times New Roman" w:hAnsi="Times New Roman" w:cs="Times New Roman"/>
          <w:bCs/>
          <w:sz w:val="24"/>
          <w:szCs w:val="24"/>
        </w:rPr>
        <w:t>Opposed recruitment of daughter by MS-13. Daughter kidnapped</w:t>
      </w:r>
      <w:r w:rsidR="00812455">
        <w:rPr>
          <w:rFonts w:ascii="Times New Roman" w:hAnsi="Times New Roman" w:cs="Times New Roman"/>
          <w:bCs/>
          <w:sz w:val="24"/>
          <w:szCs w:val="24"/>
        </w:rPr>
        <w:t>. Applicant and nephew locate</w:t>
      </w:r>
      <w:r w:rsidR="006054B7">
        <w:rPr>
          <w:rFonts w:ascii="Times New Roman" w:hAnsi="Times New Roman" w:cs="Times New Roman"/>
          <w:bCs/>
          <w:sz w:val="24"/>
          <w:szCs w:val="24"/>
        </w:rPr>
        <w:t>d</w:t>
      </w:r>
      <w:r w:rsidR="00812455">
        <w:rPr>
          <w:rFonts w:ascii="Times New Roman" w:hAnsi="Times New Roman" w:cs="Times New Roman"/>
          <w:bCs/>
          <w:sz w:val="24"/>
          <w:szCs w:val="24"/>
        </w:rPr>
        <w:t xml:space="preserve"> her, drove to find her. Applicant and daughter</w:t>
      </w:r>
      <w:r w:rsidR="00D20D2F">
        <w:rPr>
          <w:rFonts w:ascii="Times New Roman" w:hAnsi="Times New Roman" w:cs="Times New Roman"/>
          <w:bCs/>
          <w:sz w:val="24"/>
          <w:szCs w:val="24"/>
        </w:rPr>
        <w:t xml:space="preserve"> relocated to rural village where Applicant’s mother lived. Perceived threats; Applicant and daughter fled to U.S. Nephew found murdered.</w:t>
      </w:r>
    </w:p>
    <w:p w14:paraId="20453BC3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C4" w14:textId="2ADC6650" w:rsidR="00077658" w:rsidRDefault="00936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Procedural History</w:t>
      </w:r>
      <w:r w:rsidR="00077658" w:rsidRPr="00936658">
        <w:rPr>
          <w:rFonts w:ascii="Times New Roman" w:hAnsi="Times New Roman" w:cs="Times New Roman"/>
          <w:b/>
          <w:sz w:val="24"/>
          <w:szCs w:val="24"/>
        </w:rPr>
        <w:t>:</w:t>
      </w:r>
    </w:p>
    <w:p w14:paraId="42F39FFA" w14:textId="66357759" w:rsidR="00CD1844" w:rsidRDefault="00594E3D" w:rsidP="00CD1844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March 5, 2019:</w:t>
      </w:r>
      <w:r>
        <w:rPr>
          <w:rFonts w:ascii="Times New Roman" w:hAnsi="Times New Roman" w:cs="Times New Roman"/>
          <w:bCs/>
          <w:sz w:val="24"/>
          <w:szCs w:val="24"/>
        </w:rPr>
        <w:t xml:space="preserve"> IJ granted withholding of removal</w:t>
      </w:r>
      <w:r w:rsidR="001C5D5A">
        <w:rPr>
          <w:rFonts w:ascii="Times New Roman" w:hAnsi="Times New Roman" w:cs="Times New Roman"/>
          <w:bCs/>
          <w:sz w:val="24"/>
          <w:szCs w:val="24"/>
        </w:rPr>
        <w:t xml:space="preserve"> (WH only proceedings)</w:t>
      </w:r>
      <w:r w:rsidR="00CD5931">
        <w:rPr>
          <w:rFonts w:ascii="Times New Roman" w:hAnsi="Times New Roman" w:cs="Times New Roman"/>
          <w:bCs/>
          <w:sz w:val="24"/>
          <w:szCs w:val="24"/>
        </w:rPr>
        <w:t xml:space="preserve"> based on family PSG</w:t>
      </w:r>
      <w:r w:rsidR="00932BDD">
        <w:rPr>
          <w:rFonts w:ascii="Times New Roman" w:hAnsi="Times New Roman" w:cs="Times New Roman"/>
          <w:bCs/>
          <w:sz w:val="24"/>
          <w:szCs w:val="24"/>
        </w:rPr>
        <w:t>.</w:t>
      </w:r>
    </w:p>
    <w:p w14:paraId="50332F81" w14:textId="5BD6AACF" w:rsidR="004A348E" w:rsidRPr="00CD1844" w:rsidRDefault="004A348E" w:rsidP="00CD1844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April 2019: </w:t>
      </w:r>
      <w:r w:rsidRPr="004A348E">
        <w:rPr>
          <w:rFonts w:ascii="Times New Roman" w:hAnsi="Times New Roman" w:cs="Times New Roman"/>
          <w:bCs/>
          <w:sz w:val="24"/>
          <w:szCs w:val="24"/>
        </w:rPr>
        <w:t>DHS Appealed</w:t>
      </w:r>
    </w:p>
    <w:p w14:paraId="20453BC5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C6" w14:textId="77777777" w:rsidR="00077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Appeals to Statute &amp; Precedent:</w:t>
      </w:r>
    </w:p>
    <w:p w14:paraId="5149322B" w14:textId="7D127E5D" w:rsidR="004A7C1F" w:rsidRPr="00AE4456" w:rsidRDefault="00D561E2" w:rsidP="004A7C1F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 U.S.C. § 241(b)(3), 8 U.S.C. § 1231(b)(3)</w:t>
      </w:r>
      <w:r w:rsidR="00BC46B0">
        <w:rPr>
          <w:rFonts w:ascii="Times New Roman" w:hAnsi="Times New Roman" w:cs="Times New Roman"/>
          <w:b/>
          <w:sz w:val="24"/>
          <w:szCs w:val="24"/>
        </w:rPr>
        <w:t>:</w:t>
      </w:r>
      <w:r w:rsidR="00BC46B0">
        <w:rPr>
          <w:rFonts w:ascii="Times New Roman" w:hAnsi="Times New Roman" w:cs="Times New Roman"/>
          <w:bCs/>
          <w:sz w:val="24"/>
          <w:szCs w:val="24"/>
        </w:rPr>
        <w:t xml:space="preserve"> Withholding of removal statute</w:t>
      </w:r>
      <w:r w:rsidR="00AE4456">
        <w:rPr>
          <w:rFonts w:ascii="Times New Roman" w:hAnsi="Times New Roman" w:cs="Times New Roman"/>
          <w:bCs/>
          <w:sz w:val="24"/>
          <w:szCs w:val="24"/>
        </w:rPr>
        <w:t xml:space="preserve"> (refers to an applicant’s whole country)</w:t>
      </w:r>
    </w:p>
    <w:p w14:paraId="4CCA61A5" w14:textId="7934D7CC" w:rsidR="00AE4456" w:rsidRPr="00054F3D" w:rsidRDefault="00AE4456" w:rsidP="004A7C1F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54F3D">
        <w:rPr>
          <w:rFonts w:ascii="Times New Roman" w:hAnsi="Times New Roman" w:cs="Times New Roman"/>
          <w:b/>
          <w:sz w:val="24"/>
          <w:szCs w:val="24"/>
        </w:rPr>
        <w:t>8 C.F.R. §</w:t>
      </w:r>
      <w:r w:rsidR="00054F3D" w:rsidRPr="00054F3D">
        <w:rPr>
          <w:rFonts w:ascii="Times New Roman" w:hAnsi="Times New Roman" w:cs="Times New Roman"/>
          <w:b/>
          <w:sz w:val="24"/>
          <w:szCs w:val="24"/>
        </w:rPr>
        <w:t>§ 1208.13(b), 1208.16(b):</w:t>
      </w:r>
      <w:r w:rsidR="00054F3D" w:rsidRPr="00054F3D">
        <w:rPr>
          <w:rFonts w:ascii="Times New Roman" w:hAnsi="Times New Roman" w:cs="Times New Roman"/>
          <w:bCs/>
          <w:sz w:val="24"/>
          <w:szCs w:val="24"/>
        </w:rPr>
        <w:t xml:space="preserve"> adjudicators must</w:t>
      </w:r>
      <w:r w:rsidR="00054F3D">
        <w:rPr>
          <w:rFonts w:ascii="Times New Roman" w:hAnsi="Times New Roman" w:cs="Times New Roman"/>
          <w:bCs/>
          <w:sz w:val="24"/>
          <w:szCs w:val="24"/>
        </w:rPr>
        <w:t xml:space="preserve"> determine whether the person can reasonably relocate within his country of origin.</w:t>
      </w:r>
    </w:p>
    <w:p w14:paraId="0BB75E29" w14:textId="4E9868DF" w:rsidR="00BC46B0" w:rsidRPr="004D6040" w:rsidRDefault="00BC46B0" w:rsidP="004A7C1F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Matter of L-E-A-</w:t>
      </w:r>
      <w:r w:rsidR="006A0DA2">
        <w:rPr>
          <w:rFonts w:ascii="Times New Roman" w:hAnsi="Times New Roman" w:cs="Times New Roman"/>
          <w:b/>
          <w:sz w:val="24"/>
          <w:szCs w:val="24"/>
        </w:rPr>
        <w:t>, 27 I&amp;N Dec. 40, 42 (BIA 2017) (“</w:t>
      </w:r>
      <w:r w:rsidR="006A0DA2">
        <w:rPr>
          <w:rFonts w:ascii="Times New Roman" w:hAnsi="Times New Roman" w:cs="Times New Roman"/>
          <w:b/>
          <w:i/>
          <w:iCs/>
          <w:sz w:val="24"/>
          <w:szCs w:val="24"/>
        </w:rPr>
        <w:t>L-E-A- I</w:t>
      </w:r>
      <w:r w:rsidR="004D6040">
        <w:rPr>
          <w:rFonts w:ascii="Times New Roman" w:hAnsi="Times New Roman" w:cs="Times New Roman"/>
          <w:b/>
          <w:sz w:val="24"/>
          <w:szCs w:val="24"/>
        </w:rPr>
        <w:t>”)</w:t>
      </w:r>
      <w:r w:rsidR="006A0DA2">
        <w:rPr>
          <w:rFonts w:ascii="Times New Roman" w:hAnsi="Times New Roman" w:cs="Times New Roman"/>
          <w:b/>
          <w:sz w:val="24"/>
          <w:szCs w:val="24"/>
        </w:rPr>
        <w:t>:</w:t>
      </w:r>
      <w:r w:rsidR="006A0DA2">
        <w:rPr>
          <w:rFonts w:ascii="Times New Roman" w:hAnsi="Times New Roman" w:cs="Times New Roman"/>
          <w:bCs/>
          <w:sz w:val="24"/>
          <w:szCs w:val="24"/>
        </w:rPr>
        <w:t xml:space="preserve"> “family ties may meet the requirements of a particular social group depending on the facts and circumstances in the case.”</w:t>
      </w:r>
      <w:r w:rsidR="004D604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76070">
        <w:rPr>
          <w:rFonts w:ascii="Times New Roman" w:hAnsi="Times New Roman" w:cs="Times New Roman"/>
          <w:bCs/>
          <w:sz w:val="24"/>
          <w:szCs w:val="24"/>
        </w:rPr>
        <w:t>Test for nexus</w:t>
      </w:r>
      <w:r w:rsidR="006D0211">
        <w:rPr>
          <w:rFonts w:ascii="Times New Roman" w:hAnsi="Times New Roman" w:cs="Times New Roman"/>
          <w:bCs/>
          <w:sz w:val="24"/>
          <w:szCs w:val="24"/>
        </w:rPr>
        <w:t xml:space="preserve"> is still popular with this government! (see 687) </w:t>
      </w:r>
      <w:r w:rsidR="004D6040">
        <w:rPr>
          <w:rFonts w:ascii="Times New Roman" w:hAnsi="Times New Roman" w:cs="Times New Roman"/>
          <w:bCs/>
          <w:sz w:val="24"/>
          <w:szCs w:val="24"/>
        </w:rPr>
        <w:t>Overruled by:</w:t>
      </w:r>
    </w:p>
    <w:p w14:paraId="14E8CAA3" w14:textId="7E2A2EFC" w:rsidR="004D6040" w:rsidRPr="007350FE" w:rsidRDefault="004D6040" w:rsidP="004A7C1F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7350FE">
        <w:rPr>
          <w:rFonts w:ascii="Times New Roman" w:hAnsi="Times New Roman" w:cs="Times New Roman"/>
          <w:b/>
          <w:i/>
          <w:iCs/>
          <w:sz w:val="24"/>
          <w:szCs w:val="24"/>
        </w:rPr>
        <w:t>Matter of L-E-A-</w:t>
      </w:r>
      <w:r w:rsidRPr="007350FE">
        <w:rPr>
          <w:rFonts w:ascii="Times New Roman" w:hAnsi="Times New Roman" w:cs="Times New Roman"/>
          <w:b/>
          <w:sz w:val="24"/>
          <w:szCs w:val="24"/>
        </w:rPr>
        <w:t xml:space="preserve">, 27 I&amp;N Dec. </w:t>
      </w:r>
      <w:r w:rsidR="00AC0226" w:rsidRPr="007350FE">
        <w:rPr>
          <w:rFonts w:ascii="Times New Roman" w:hAnsi="Times New Roman" w:cs="Times New Roman"/>
          <w:b/>
          <w:sz w:val="24"/>
          <w:szCs w:val="24"/>
        </w:rPr>
        <w:t>581</w:t>
      </w:r>
      <w:r w:rsidRPr="007350FE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AC0226" w:rsidRPr="007350FE">
        <w:rPr>
          <w:rFonts w:ascii="Times New Roman" w:hAnsi="Times New Roman" w:cs="Times New Roman"/>
          <w:b/>
          <w:sz w:val="24"/>
          <w:szCs w:val="24"/>
        </w:rPr>
        <w:t>A.G. 2019</w:t>
      </w:r>
      <w:r w:rsidRPr="007350FE">
        <w:rPr>
          <w:rFonts w:ascii="Times New Roman" w:hAnsi="Times New Roman" w:cs="Times New Roman"/>
          <w:b/>
          <w:sz w:val="24"/>
          <w:szCs w:val="24"/>
        </w:rPr>
        <w:t>) (“</w:t>
      </w:r>
      <w:r w:rsidRPr="007350FE">
        <w:rPr>
          <w:rFonts w:ascii="Times New Roman" w:hAnsi="Times New Roman" w:cs="Times New Roman"/>
          <w:b/>
          <w:i/>
          <w:iCs/>
          <w:sz w:val="24"/>
          <w:szCs w:val="24"/>
        </w:rPr>
        <w:t>L-E-A- I</w:t>
      </w:r>
      <w:r w:rsidR="00AC0226" w:rsidRPr="007350FE">
        <w:rPr>
          <w:rFonts w:ascii="Times New Roman" w:hAnsi="Times New Roman" w:cs="Times New Roman"/>
          <w:b/>
          <w:i/>
          <w:iCs/>
          <w:sz w:val="24"/>
          <w:szCs w:val="24"/>
        </w:rPr>
        <w:t>I</w:t>
      </w:r>
      <w:r w:rsidRPr="007350FE">
        <w:rPr>
          <w:rFonts w:ascii="Times New Roman" w:hAnsi="Times New Roman" w:cs="Times New Roman"/>
          <w:b/>
          <w:sz w:val="24"/>
          <w:szCs w:val="24"/>
        </w:rPr>
        <w:t>”):</w:t>
      </w:r>
      <w:r w:rsidR="00AC0226" w:rsidRPr="007350F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350FE" w:rsidRPr="007350FE">
        <w:rPr>
          <w:rFonts w:ascii="Times New Roman" w:hAnsi="Times New Roman" w:cs="Times New Roman"/>
          <w:bCs/>
          <w:sz w:val="24"/>
          <w:szCs w:val="24"/>
        </w:rPr>
        <w:t>No</w:t>
      </w:r>
      <w:r w:rsidR="001A3A36">
        <w:rPr>
          <w:rFonts w:ascii="Times New Roman" w:hAnsi="Times New Roman" w:cs="Times New Roman"/>
          <w:bCs/>
          <w:sz w:val="24"/>
          <w:szCs w:val="24"/>
        </w:rPr>
        <w:t>,</w:t>
      </w:r>
      <w:r w:rsidR="007350FE" w:rsidRPr="007350F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A3A36">
        <w:rPr>
          <w:rFonts w:ascii="Times New Roman" w:hAnsi="Times New Roman" w:cs="Times New Roman"/>
          <w:bCs/>
          <w:sz w:val="24"/>
          <w:szCs w:val="24"/>
        </w:rPr>
        <w:t>they don’t</w:t>
      </w:r>
      <w:r w:rsidR="007350FE">
        <w:rPr>
          <w:rFonts w:ascii="Times New Roman" w:hAnsi="Times New Roman" w:cs="Times New Roman"/>
          <w:bCs/>
          <w:sz w:val="24"/>
          <w:szCs w:val="24"/>
        </w:rPr>
        <w:t>.</w:t>
      </w:r>
      <w:r w:rsidR="00AB00B1">
        <w:rPr>
          <w:rFonts w:ascii="Times New Roman" w:hAnsi="Times New Roman" w:cs="Times New Roman"/>
          <w:bCs/>
          <w:sz w:val="24"/>
          <w:szCs w:val="24"/>
        </w:rPr>
        <w:t xml:space="preserve"> Overruled by:</w:t>
      </w:r>
    </w:p>
    <w:p w14:paraId="78DF89E9" w14:textId="2DFDA3C8" w:rsidR="007350FE" w:rsidRPr="001A3A36" w:rsidRDefault="007350FE" w:rsidP="004A7C1F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1A3A36">
        <w:rPr>
          <w:rFonts w:ascii="Times New Roman" w:hAnsi="Times New Roman" w:cs="Times New Roman"/>
          <w:b/>
          <w:i/>
          <w:iCs/>
          <w:sz w:val="24"/>
          <w:szCs w:val="24"/>
        </w:rPr>
        <w:t>Matter of L-E-A-</w:t>
      </w:r>
      <w:r w:rsidRPr="001A3A36">
        <w:rPr>
          <w:rFonts w:ascii="Times New Roman" w:hAnsi="Times New Roman" w:cs="Times New Roman"/>
          <w:b/>
          <w:sz w:val="24"/>
          <w:szCs w:val="24"/>
        </w:rPr>
        <w:t xml:space="preserve">, 28 I&amp;N Dec. </w:t>
      </w:r>
      <w:r w:rsidR="001A3A36" w:rsidRPr="001A3A36">
        <w:rPr>
          <w:rFonts w:ascii="Times New Roman" w:hAnsi="Times New Roman" w:cs="Times New Roman"/>
          <w:b/>
          <w:sz w:val="24"/>
          <w:szCs w:val="24"/>
        </w:rPr>
        <w:t>304</w:t>
      </w:r>
      <w:r w:rsidRPr="001A3A36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1A3A36" w:rsidRPr="001A3A36">
        <w:rPr>
          <w:rFonts w:ascii="Times New Roman" w:hAnsi="Times New Roman" w:cs="Times New Roman"/>
          <w:b/>
          <w:sz w:val="24"/>
          <w:szCs w:val="24"/>
        </w:rPr>
        <w:t>A.G.</w:t>
      </w:r>
      <w:r w:rsidR="001A3A36">
        <w:rPr>
          <w:rFonts w:ascii="Times New Roman" w:hAnsi="Times New Roman" w:cs="Times New Roman"/>
          <w:b/>
          <w:sz w:val="24"/>
          <w:szCs w:val="24"/>
        </w:rPr>
        <w:t xml:space="preserve"> 2021</w:t>
      </w:r>
      <w:r w:rsidRPr="001A3A36">
        <w:rPr>
          <w:rFonts w:ascii="Times New Roman" w:hAnsi="Times New Roman" w:cs="Times New Roman"/>
          <w:b/>
          <w:sz w:val="24"/>
          <w:szCs w:val="24"/>
        </w:rPr>
        <w:t>) (“</w:t>
      </w:r>
      <w:r w:rsidRPr="001A3A36">
        <w:rPr>
          <w:rFonts w:ascii="Times New Roman" w:hAnsi="Times New Roman" w:cs="Times New Roman"/>
          <w:b/>
          <w:i/>
          <w:iCs/>
          <w:sz w:val="24"/>
          <w:szCs w:val="24"/>
        </w:rPr>
        <w:t>L-E-A- I</w:t>
      </w:r>
      <w:r w:rsidR="001A3A36" w:rsidRPr="001A3A36">
        <w:rPr>
          <w:rFonts w:ascii="Times New Roman" w:hAnsi="Times New Roman" w:cs="Times New Roman"/>
          <w:b/>
          <w:i/>
          <w:iCs/>
          <w:sz w:val="24"/>
          <w:szCs w:val="24"/>
        </w:rPr>
        <w:t>II</w:t>
      </w:r>
      <w:r w:rsidRPr="001A3A36">
        <w:rPr>
          <w:rFonts w:ascii="Times New Roman" w:hAnsi="Times New Roman" w:cs="Times New Roman"/>
          <w:b/>
          <w:sz w:val="24"/>
          <w:szCs w:val="24"/>
        </w:rPr>
        <w:t>”):</w:t>
      </w:r>
      <w:r w:rsidR="001A3A36" w:rsidRPr="001A3A36">
        <w:rPr>
          <w:rFonts w:ascii="Times New Roman" w:hAnsi="Times New Roman" w:cs="Times New Roman"/>
          <w:bCs/>
          <w:sz w:val="24"/>
          <w:szCs w:val="24"/>
        </w:rPr>
        <w:t xml:space="preserve"> Yes, </w:t>
      </w:r>
      <w:r w:rsidR="001A3A36">
        <w:rPr>
          <w:rFonts w:ascii="Times New Roman" w:hAnsi="Times New Roman" w:cs="Times New Roman"/>
          <w:bCs/>
          <w:sz w:val="24"/>
          <w:szCs w:val="24"/>
        </w:rPr>
        <w:t>they do</w:t>
      </w:r>
      <w:r w:rsidR="001A3A36" w:rsidRPr="001A3A36">
        <w:rPr>
          <w:rFonts w:ascii="Times New Roman" w:hAnsi="Times New Roman" w:cs="Times New Roman"/>
          <w:bCs/>
          <w:sz w:val="24"/>
          <w:szCs w:val="24"/>
        </w:rPr>
        <w:t>.</w:t>
      </w:r>
      <w:r w:rsidR="00AB00B1">
        <w:rPr>
          <w:rFonts w:ascii="Times New Roman" w:hAnsi="Times New Roman" w:cs="Times New Roman"/>
          <w:bCs/>
          <w:sz w:val="24"/>
          <w:szCs w:val="24"/>
        </w:rPr>
        <w:t xml:space="preserve"> Vacated by:</w:t>
      </w:r>
    </w:p>
    <w:p w14:paraId="050FFD9B" w14:textId="32846591" w:rsidR="001A3A36" w:rsidRPr="00AC65BD" w:rsidRDefault="00E46C8A" w:rsidP="004A7C1F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244439">
        <w:rPr>
          <w:rFonts w:ascii="Times New Roman" w:hAnsi="Times New Roman" w:cs="Times New Roman"/>
          <w:b/>
          <w:i/>
          <w:iCs/>
          <w:sz w:val="24"/>
          <w:szCs w:val="24"/>
        </w:rPr>
        <w:t>Matter of R-E-R-M- &amp; J-D-R-M-</w:t>
      </w:r>
      <w:r w:rsidRPr="00244439">
        <w:rPr>
          <w:rFonts w:ascii="Times New Roman" w:hAnsi="Times New Roman" w:cs="Times New Roman"/>
          <w:b/>
          <w:sz w:val="24"/>
          <w:szCs w:val="24"/>
        </w:rPr>
        <w:t>, 29 I&amp;N Dec. 2</w:t>
      </w:r>
      <w:r w:rsidR="00244439" w:rsidRPr="00244439">
        <w:rPr>
          <w:rFonts w:ascii="Times New Roman" w:hAnsi="Times New Roman" w:cs="Times New Roman"/>
          <w:b/>
          <w:sz w:val="24"/>
          <w:szCs w:val="24"/>
        </w:rPr>
        <w:t>02, 205 (A.G. 2025):</w:t>
      </w:r>
      <w:r w:rsidR="00244439" w:rsidRPr="00244439">
        <w:rPr>
          <w:rFonts w:ascii="Times New Roman" w:hAnsi="Times New Roman" w:cs="Times New Roman"/>
          <w:bCs/>
          <w:sz w:val="24"/>
          <w:szCs w:val="24"/>
        </w:rPr>
        <w:t xml:space="preserve"> You better believe th</w:t>
      </w:r>
      <w:r w:rsidR="00244439">
        <w:rPr>
          <w:rFonts w:ascii="Times New Roman" w:hAnsi="Times New Roman" w:cs="Times New Roman"/>
          <w:bCs/>
          <w:sz w:val="24"/>
          <w:szCs w:val="24"/>
        </w:rPr>
        <w:t>ey don’t.</w:t>
      </w:r>
      <w:r w:rsidR="00AB00B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E30B0">
        <w:rPr>
          <w:rFonts w:ascii="Times New Roman" w:hAnsi="Times New Roman" w:cs="Times New Roman"/>
          <w:bCs/>
          <w:i/>
          <w:iCs/>
          <w:sz w:val="24"/>
          <w:szCs w:val="24"/>
        </w:rPr>
        <w:t>L-E-A- II</w:t>
      </w:r>
      <w:r w:rsidR="000E30B0">
        <w:rPr>
          <w:rFonts w:ascii="Times New Roman" w:hAnsi="Times New Roman" w:cs="Times New Roman"/>
          <w:bCs/>
          <w:sz w:val="24"/>
          <w:szCs w:val="24"/>
        </w:rPr>
        <w:t xml:space="preserve"> reinstated.</w:t>
      </w:r>
    </w:p>
    <w:p w14:paraId="5003D192" w14:textId="4F27CAA9" w:rsidR="00AC65BD" w:rsidRPr="00F54989" w:rsidRDefault="00AC65BD" w:rsidP="004A7C1F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lastRenderedPageBreak/>
        <w:t xml:space="preserve">Matter of </w:t>
      </w:r>
      <w:r w:rsidR="001B00C3">
        <w:rPr>
          <w:rFonts w:ascii="Times New Roman" w:hAnsi="Times New Roman" w:cs="Times New Roman"/>
          <w:b/>
          <w:i/>
          <w:iCs/>
          <w:sz w:val="24"/>
          <w:szCs w:val="24"/>
        </w:rPr>
        <w:t>S-S-F-M-</w:t>
      </w:r>
      <w:r w:rsidR="001B00C3">
        <w:rPr>
          <w:rFonts w:ascii="Times New Roman" w:hAnsi="Times New Roman" w:cs="Times New Roman"/>
          <w:b/>
          <w:sz w:val="24"/>
          <w:szCs w:val="24"/>
        </w:rPr>
        <w:t>, 29 I&amp;N Dec. 207 (A.G. 2025):</w:t>
      </w:r>
      <w:r w:rsidR="001B00C3">
        <w:rPr>
          <w:rFonts w:ascii="Times New Roman" w:hAnsi="Times New Roman" w:cs="Times New Roman"/>
          <w:bCs/>
          <w:sz w:val="24"/>
          <w:szCs w:val="24"/>
        </w:rPr>
        <w:t xml:space="preserve"> Reinstated </w:t>
      </w:r>
      <w:r w:rsidR="001B00C3">
        <w:rPr>
          <w:rFonts w:ascii="Times New Roman" w:hAnsi="Times New Roman" w:cs="Times New Roman"/>
          <w:bCs/>
          <w:i/>
          <w:iCs/>
          <w:sz w:val="24"/>
          <w:szCs w:val="24"/>
        </w:rPr>
        <w:t>Matter of A-B- I</w:t>
      </w:r>
      <w:r w:rsidR="00746D93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="00746D93">
        <w:rPr>
          <w:rFonts w:ascii="Times New Roman" w:hAnsi="Times New Roman" w:cs="Times New Roman"/>
          <w:bCs/>
          <w:sz w:val="24"/>
          <w:szCs w:val="24"/>
        </w:rPr>
        <w:t xml:space="preserve">(27 I&amp;N Dec. 316 A.G. 2018) and </w:t>
      </w:r>
      <w:r w:rsidR="00746D93">
        <w:rPr>
          <w:rFonts w:ascii="Times New Roman" w:hAnsi="Times New Roman" w:cs="Times New Roman"/>
          <w:bCs/>
          <w:i/>
          <w:iCs/>
          <w:sz w:val="24"/>
          <w:szCs w:val="24"/>
        </w:rPr>
        <w:t>Matter of A-B- II</w:t>
      </w:r>
      <w:r w:rsidR="00746D93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BA5C13">
        <w:rPr>
          <w:rFonts w:ascii="Times New Roman" w:hAnsi="Times New Roman" w:cs="Times New Roman"/>
          <w:bCs/>
          <w:sz w:val="24"/>
          <w:szCs w:val="24"/>
        </w:rPr>
        <w:t>28 I&amp;N Dec. 199 (A.G. 2021</w:t>
      </w:r>
      <w:r w:rsidR="003F1F9F">
        <w:rPr>
          <w:rFonts w:ascii="Times New Roman" w:hAnsi="Times New Roman" w:cs="Times New Roman"/>
          <w:bCs/>
          <w:sz w:val="24"/>
          <w:szCs w:val="24"/>
        </w:rPr>
        <w:t>)</w:t>
      </w:r>
      <w:r w:rsidR="001D4A46">
        <w:rPr>
          <w:rFonts w:ascii="Times New Roman" w:hAnsi="Times New Roman" w:cs="Times New Roman"/>
          <w:bCs/>
          <w:sz w:val="24"/>
          <w:szCs w:val="24"/>
        </w:rPr>
        <w:t xml:space="preserve"> rejecting DV / private actor persecution except under very rare circumstances.</w:t>
      </w:r>
    </w:p>
    <w:p w14:paraId="4D77704F" w14:textId="2357C76D" w:rsidR="00F54989" w:rsidRPr="005B77DA" w:rsidRDefault="00F54989" w:rsidP="004A7C1F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Matter of W-G-R-</w:t>
      </w:r>
      <w:r>
        <w:rPr>
          <w:rFonts w:ascii="Times New Roman" w:hAnsi="Times New Roman" w:cs="Times New Roman"/>
          <w:b/>
          <w:sz w:val="24"/>
          <w:szCs w:val="24"/>
        </w:rPr>
        <w:t xml:space="preserve">, 26, I&amp;N  Dec. 208, 212-18 (BIA 2014),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vacated in part on other grounds sub nom., Reyes v. Lynch</w:t>
      </w:r>
      <w:r>
        <w:rPr>
          <w:rFonts w:ascii="Times New Roman" w:hAnsi="Times New Roman" w:cs="Times New Roman"/>
          <w:b/>
          <w:sz w:val="24"/>
          <w:szCs w:val="24"/>
        </w:rPr>
        <w:t>, 842 F.3d 1125 (9</w:t>
      </w:r>
      <w:r w:rsidRPr="00F54989"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/>
          <w:sz w:val="24"/>
          <w:szCs w:val="24"/>
        </w:rPr>
        <w:t xml:space="preserve"> Cir. 2016):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352FC">
        <w:rPr>
          <w:rFonts w:ascii="Times New Roman" w:hAnsi="Times New Roman" w:cs="Times New Roman"/>
          <w:bCs/>
          <w:sz w:val="24"/>
          <w:szCs w:val="24"/>
        </w:rPr>
        <w:t>PSG “requires immutable characteristics, must be defined with particularity, and must be socially distinct within the society in question.” (</w:t>
      </w:r>
      <w:r w:rsidR="00073DD1">
        <w:rPr>
          <w:rFonts w:ascii="Times New Roman" w:hAnsi="Times New Roman" w:cs="Times New Roman"/>
          <w:bCs/>
          <w:sz w:val="24"/>
          <w:szCs w:val="24"/>
        </w:rPr>
        <w:t>S-E-M-Z- 681)</w:t>
      </w:r>
    </w:p>
    <w:p w14:paraId="45F49A66" w14:textId="678B2DC9" w:rsidR="005B77DA" w:rsidRPr="003C74DC" w:rsidRDefault="005B77DA" w:rsidP="005B77DA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B77DA">
        <w:rPr>
          <w:rFonts w:ascii="Times New Roman" w:hAnsi="Times New Roman" w:cs="Times New Roman"/>
          <w:b/>
          <w:i/>
          <w:iCs/>
          <w:sz w:val="24"/>
          <w:szCs w:val="24"/>
        </w:rPr>
        <w:t>Matter of Acosta</w:t>
      </w:r>
      <w:r w:rsidRPr="005B77DA">
        <w:rPr>
          <w:rFonts w:ascii="Times New Roman" w:hAnsi="Times New Roman" w:cs="Times New Roman"/>
          <w:b/>
          <w:sz w:val="24"/>
          <w:szCs w:val="24"/>
        </w:rPr>
        <w:t>, 19 I&amp;N Dec. 211</w:t>
      </w:r>
      <w:r w:rsidR="00D01DC0">
        <w:rPr>
          <w:rFonts w:ascii="Times New Roman" w:hAnsi="Times New Roman" w:cs="Times New Roman"/>
          <w:b/>
          <w:sz w:val="24"/>
          <w:szCs w:val="24"/>
        </w:rPr>
        <w:t>, 235</w:t>
      </w:r>
      <w:r w:rsidRPr="005B77DA">
        <w:rPr>
          <w:rFonts w:ascii="Times New Roman" w:hAnsi="Times New Roman" w:cs="Times New Roman"/>
          <w:b/>
          <w:sz w:val="24"/>
          <w:szCs w:val="24"/>
        </w:rPr>
        <w:t xml:space="preserve"> (BIA 1985), </w:t>
      </w:r>
      <w:r w:rsidRPr="005B77DA">
        <w:rPr>
          <w:rFonts w:ascii="Times New Roman" w:hAnsi="Times New Roman" w:cs="Times New Roman"/>
          <w:b/>
          <w:i/>
          <w:iCs/>
          <w:sz w:val="24"/>
          <w:szCs w:val="24"/>
        </w:rPr>
        <w:t>over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ruled on other grounds by Matter of Mogharrabi</w:t>
      </w:r>
      <w:r>
        <w:rPr>
          <w:rFonts w:ascii="Times New Roman" w:hAnsi="Times New Roman" w:cs="Times New Roman"/>
          <w:b/>
          <w:sz w:val="24"/>
          <w:szCs w:val="24"/>
        </w:rPr>
        <w:t>, 19 I&amp;N Dec. 439 (BIA 1987)</w:t>
      </w:r>
      <w:r w:rsidR="00DE0A2C">
        <w:rPr>
          <w:rFonts w:ascii="Times New Roman" w:hAnsi="Times New Roman" w:cs="Times New Roman"/>
          <w:b/>
          <w:sz w:val="24"/>
          <w:szCs w:val="24"/>
        </w:rPr>
        <w:t>:</w:t>
      </w:r>
      <w:r w:rsidR="00DE0A2C">
        <w:rPr>
          <w:rFonts w:ascii="Times New Roman" w:hAnsi="Times New Roman" w:cs="Times New Roman"/>
          <w:bCs/>
          <w:sz w:val="24"/>
          <w:szCs w:val="24"/>
        </w:rPr>
        <w:t xml:space="preserve"> didn’t deal with social distinction, but emphasized that the individual must b</w:t>
      </w:r>
      <w:r w:rsidR="004B2B34">
        <w:rPr>
          <w:rFonts w:ascii="Times New Roman" w:hAnsi="Times New Roman" w:cs="Times New Roman"/>
          <w:bCs/>
          <w:sz w:val="24"/>
          <w:szCs w:val="24"/>
        </w:rPr>
        <w:t xml:space="preserve">e unable or unwilling to return to a particular country, and the harm must be </w:t>
      </w:r>
      <w:r w:rsidR="004B2B34" w:rsidRPr="00D15F0E">
        <w:rPr>
          <w:rFonts w:ascii="Times New Roman" w:hAnsi="Times New Roman" w:cs="Times New Roman"/>
          <w:b/>
          <w:sz w:val="24"/>
          <w:szCs w:val="24"/>
        </w:rPr>
        <w:t>country-wide</w:t>
      </w:r>
      <w:r w:rsidR="004B2B34">
        <w:rPr>
          <w:rFonts w:ascii="Times New Roman" w:hAnsi="Times New Roman" w:cs="Times New Roman"/>
          <w:bCs/>
          <w:sz w:val="24"/>
          <w:szCs w:val="24"/>
        </w:rPr>
        <w:t xml:space="preserve"> for him.</w:t>
      </w:r>
      <w:r w:rsidR="00D01DC0">
        <w:rPr>
          <w:rFonts w:ascii="Times New Roman" w:hAnsi="Times New Roman" w:cs="Times New Roman"/>
          <w:bCs/>
          <w:sz w:val="24"/>
          <w:szCs w:val="24"/>
        </w:rPr>
        <w:t xml:space="preserve"> (Discussed in </w:t>
      </w:r>
      <w:r w:rsidR="00D01DC0">
        <w:rPr>
          <w:rFonts w:ascii="Times New Roman" w:hAnsi="Times New Roman" w:cs="Times New Roman"/>
          <w:bCs/>
          <w:i/>
          <w:iCs/>
          <w:sz w:val="24"/>
          <w:szCs w:val="24"/>
        </w:rPr>
        <w:t>S-E-M-Z-</w:t>
      </w:r>
      <w:r w:rsidR="00D01DC0">
        <w:rPr>
          <w:rFonts w:ascii="Times New Roman" w:hAnsi="Times New Roman" w:cs="Times New Roman"/>
          <w:bCs/>
          <w:sz w:val="24"/>
          <w:szCs w:val="24"/>
        </w:rPr>
        <w:t xml:space="preserve"> at 682)</w:t>
      </w:r>
    </w:p>
    <w:p w14:paraId="31821D97" w14:textId="39733E48" w:rsidR="003C74DC" w:rsidRPr="007C6F91" w:rsidRDefault="008B05F4" w:rsidP="005B77DA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Matter of H-</w:t>
      </w:r>
      <w:r>
        <w:rPr>
          <w:rFonts w:ascii="Times New Roman" w:hAnsi="Times New Roman" w:cs="Times New Roman"/>
          <w:b/>
          <w:sz w:val="24"/>
          <w:szCs w:val="24"/>
        </w:rPr>
        <w:t xml:space="preserve">, 21 I&amp;N Dec. 337, 334 (BIA 1996): </w:t>
      </w:r>
      <w:r>
        <w:rPr>
          <w:rFonts w:ascii="Times New Roman" w:hAnsi="Times New Roman" w:cs="Times New Roman"/>
          <w:bCs/>
          <w:sz w:val="24"/>
          <w:szCs w:val="24"/>
        </w:rPr>
        <w:t>distinct and recognizable subclans in Somalia.</w:t>
      </w:r>
    </w:p>
    <w:p w14:paraId="2042F00C" w14:textId="56EB7D63" w:rsidR="007C6F91" w:rsidRPr="005A1C57" w:rsidRDefault="007C6F91" w:rsidP="005B77DA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21141">
        <w:rPr>
          <w:rFonts w:ascii="Times New Roman" w:hAnsi="Times New Roman" w:cs="Times New Roman"/>
          <w:b/>
          <w:i/>
          <w:iCs/>
          <w:sz w:val="24"/>
          <w:szCs w:val="24"/>
        </w:rPr>
        <w:t>Matter of A-M-E &amp; J-G-U-</w:t>
      </w:r>
      <w:r w:rsidRPr="00C21141">
        <w:rPr>
          <w:rFonts w:ascii="Times New Roman" w:hAnsi="Times New Roman" w:cs="Times New Roman"/>
          <w:b/>
          <w:sz w:val="24"/>
          <w:szCs w:val="24"/>
        </w:rPr>
        <w:t xml:space="preserve">, 24 I&amp;N Dec. 69, 74 (BIA 2007), </w:t>
      </w:r>
      <w:r w:rsidRPr="00C21141">
        <w:rPr>
          <w:rFonts w:ascii="Times New Roman" w:hAnsi="Times New Roman" w:cs="Times New Roman"/>
          <w:b/>
          <w:i/>
          <w:iCs/>
          <w:sz w:val="24"/>
          <w:szCs w:val="24"/>
        </w:rPr>
        <w:t>aff’d sub nom.</w:t>
      </w:r>
      <w:r w:rsidRPr="00C21141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C21141">
        <w:rPr>
          <w:rFonts w:ascii="Times New Roman" w:hAnsi="Times New Roman" w:cs="Times New Roman"/>
          <w:b/>
          <w:i/>
          <w:iCs/>
          <w:sz w:val="24"/>
          <w:szCs w:val="24"/>
        </w:rPr>
        <w:t>Ucelo-Gomez v. Mukasey</w:t>
      </w:r>
      <w:r w:rsidRPr="00C21141">
        <w:rPr>
          <w:rFonts w:ascii="Times New Roman" w:hAnsi="Times New Roman" w:cs="Times New Roman"/>
          <w:b/>
          <w:sz w:val="24"/>
          <w:szCs w:val="24"/>
        </w:rPr>
        <w:t>, 509 F.3d</w:t>
      </w:r>
      <w:r w:rsidR="00C21141" w:rsidRPr="00C21141">
        <w:rPr>
          <w:rFonts w:ascii="Times New Roman" w:hAnsi="Times New Roman" w:cs="Times New Roman"/>
          <w:b/>
          <w:sz w:val="24"/>
          <w:szCs w:val="24"/>
        </w:rPr>
        <w:t xml:space="preserve"> 70 (2d Cir. 2007):</w:t>
      </w:r>
      <w:r w:rsidR="00C21141" w:rsidRPr="00C21141">
        <w:rPr>
          <w:rFonts w:ascii="Times New Roman" w:hAnsi="Times New Roman" w:cs="Times New Roman"/>
          <w:bCs/>
          <w:sz w:val="24"/>
          <w:szCs w:val="24"/>
        </w:rPr>
        <w:t xml:space="preserve"> Social</w:t>
      </w:r>
      <w:r w:rsidR="00C21141">
        <w:rPr>
          <w:rFonts w:ascii="Times New Roman" w:hAnsi="Times New Roman" w:cs="Times New Roman"/>
          <w:bCs/>
          <w:sz w:val="24"/>
          <w:szCs w:val="24"/>
        </w:rPr>
        <w:t xml:space="preserve"> visibility must be considered in the context of the country of concern</w:t>
      </w:r>
      <w:r w:rsidR="00247DF4">
        <w:rPr>
          <w:rFonts w:ascii="Times New Roman" w:hAnsi="Times New Roman" w:cs="Times New Roman"/>
          <w:bCs/>
          <w:sz w:val="24"/>
          <w:szCs w:val="24"/>
        </w:rPr>
        <w:t>.</w:t>
      </w:r>
    </w:p>
    <w:p w14:paraId="2BEE6E8E" w14:textId="29D62B03" w:rsidR="005A1C57" w:rsidRPr="00A82ED2" w:rsidRDefault="005A1C57" w:rsidP="005B77DA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Matter of M-E-V-G-</w:t>
      </w:r>
      <w:r>
        <w:rPr>
          <w:rFonts w:ascii="Times New Roman" w:hAnsi="Times New Roman" w:cs="Times New Roman"/>
          <w:b/>
          <w:sz w:val="24"/>
          <w:szCs w:val="24"/>
        </w:rPr>
        <w:t>¸26 I&amp;N Dec. 227, 242 (BIA 2014):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01EA1">
        <w:rPr>
          <w:rFonts w:ascii="Times New Roman" w:hAnsi="Times New Roman" w:cs="Times New Roman"/>
          <w:bCs/>
          <w:sz w:val="24"/>
          <w:szCs w:val="24"/>
        </w:rPr>
        <w:t>“a group’s recognition for asylum purposes is determined by the perception of the society in question, rather than by the perception of the persecutor.”</w:t>
      </w:r>
    </w:p>
    <w:p w14:paraId="52245762" w14:textId="1679CED5" w:rsidR="00A82ED2" w:rsidRPr="00F6327A" w:rsidRDefault="00A82ED2" w:rsidP="005B77DA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Matter of Fuentes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6366F9">
        <w:rPr>
          <w:rFonts w:ascii="Times New Roman" w:hAnsi="Times New Roman" w:cs="Times New Roman"/>
          <w:b/>
          <w:sz w:val="24"/>
          <w:szCs w:val="24"/>
        </w:rPr>
        <w:t>19 I&amp;N Dec. 658, 663 (BIA 1988):</w:t>
      </w:r>
      <w:r w:rsidR="006366F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4152E">
        <w:rPr>
          <w:rFonts w:ascii="Times New Roman" w:hAnsi="Times New Roman" w:cs="Times New Roman"/>
          <w:bCs/>
          <w:sz w:val="24"/>
          <w:szCs w:val="24"/>
        </w:rPr>
        <w:t>asylum claim based on nongovernmental action can’t be established if you can only show neighborhood persecution.</w:t>
      </w:r>
    </w:p>
    <w:p w14:paraId="6088A9D5" w14:textId="530A9EE9" w:rsidR="00F6327A" w:rsidRPr="005D0418" w:rsidRDefault="00F6327A" w:rsidP="005B77DA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DF3926">
        <w:rPr>
          <w:rFonts w:ascii="Times New Roman" w:hAnsi="Times New Roman" w:cs="Times New Roman"/>
          <w:b/>
          <w:i/>
          <w:iCs/>
          <w:sz w:val="24"/>
          <w:szCs w:val="24"/>
        </w:rPr>
        <w:t>Matter of D-G-E-A- &amp; N-G-G-E-</w:t>
      </w:r>
      <w:r w:rsidRPr="00DF3926">
        <w:rPr>
          <w:rFonts w:ascii="Times New Roman" w:hAnsi="Times New Roman" w:cs="Times New Roman"/>
          <w:b/>
          <w:sz w:val="24"/>
          <w:szCs w:val="24"/>
        </w:rPr>
        <w:t>, 29 I&amp;N Dec. 570, 575-76 (BIA 2026):</w:t>
      </w:r>
      <w:r w:rsidRPr="00DF3926">
        <w:rPr>
          <w:rFonts w:ascii="Times New Roman" w:hAnsi="Times New Roman" w:cs="Times New Roman"/>
          <w:bCs/>
          <w:sz w:val="24"/>
          <w:szCs w:val="24"/>
        </w:rPr>
        <w:t xml:space="preserve"> political opinion</w:t>
      </w:r>
      <w:r w:rsidR="00036FDB">
        <w:rPr>
          <w:rFonts w:ascii="Times New Roman" w:hAnsi="Times New Roman" w:cs="Times New Roman"/>
          <w:bCs/>
          <w:sz w:val="24"/>
          <w:szCs w:val="24"/>
        </w:rPr>
        <w:t xml:space="preserve"> asylum claim</w:t>
      </w:r>
      <w:r w:rsidRPr="00DF392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F3926" w:rsidRPr="00DF3926">
        <w:rPr>
          <w:rFonts w:ascii="Times New Roman" w:hAnsi="Times New Roman" w:cs="Times New Roman"/>
          <w:bCs/>
          <w:sz w:val="24"/>
          <w:szCs w:val="24"/>
        </w:rPr>
        <w:t>implies oppos</w:t>
      </w:r>
      <w:r w:rsidR="00DF3926">
        <w:rPr>
          <w:rFonts w:ascii="Times New Roman" w:hAnsi="Times New Roman" w:cs="Times New Roman"/>
          <w:bCs/>
          <w:sz w:val="24"/>
          <w:szCs w:val="24"/>
        </w:rPr>
        <w:t xml:space="preserve">ition to government of a whole </w:t>
      </w:r>
      <w:r w:rsidR="00DF3926">
        <w:rPr>
          <w:rFonts w:ascii="Times New Roman" w:hAnsi="Times New Roman" w:cs="Times New Roman"/>
          <w:bCs/>
          <w:i/>
          <w:iCs/>
          <w:sz w:val="24"/>
          <w:szCs w:val="24"/>
        </w:rPr>
        <w:t>country</w:t>
      </w:r>
      <w:r w:rsidR="00DF3926">
        <w:rPr>
          <w:rFonts w:ascii="Times New Roman" w:hAnsi="Times New Roman" w:cs="Times New Roman"/>
          <w:bCs/>
          <w:sz w:val="24"/>
          <w:szCs w:val="24"/>
        </w:rPr>
        <w:t>.</w:t>
      </w:r>
    </w:p>
    <w:p w14:paraId="18BF8248" w14:textId="0432D1FE" w:rsidR="005D0418" w:rsidRDefault="005D0418" w:rsidP="005B77DA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See p.</w:t>
      </w:r>
      <w:r>
        <w:rPr>
          <w:rFonts w:ascii="Times New Roman" w:hAnsi="Times New Roman" w:cs="Times New Roman"/>
          <w:b/>
          <w:sz w:val="24"/>
          <w:szCs w:val="24"/>
        </w:rPr>
        <w:t>685</w:t>
      </w:r>
      <w:r w:rsidR="00757F7E">
        <w:rPr>
          <w:rFonts w:ascii="Times New Roman" w:hAnsi="Times New Roman" w:cs="Times New Roman"/>
          <w:b/>
          <w:sz w:val="24"/>
          <w:szCs w:val="24"/>
        </w:rPr>
        <w:t xml:space="preserve"> for examples of Circuit Court cases that reference a whole nation as a “society.”</w:t>
      </w:r>
    </w:p>
    <w:p w14:paraId="1135D9D9" w14:textId="00D9B140" w:rsidR="00D84961" w:rsidRPr="00F23676" w:rsidRDefault="00D84961" w:rsidP="005B77DA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D84961">
        <w:rPr>
          <w:rFonts w:ascii="Times New Roman" w:hAnsi="Times New Roman" w:cs="Times New Roman"/>
          <w:b/>
          <w:i/>
          <w:iCs/>
          <w:sz w:val="24"/>
          <w:szCs w:val="24"/>
        </w:rPr>
        <w:t>Hernandez-Avalos v. Lynch</w:t>
      </w:r>
      <w:r w:rsidRPr="00D84961">
        <w:rPr>
          <w:rFonts w:ascii="Times New Roman" w:hAnsi="Times New Roman" w:cs="Times New Roman"/>
          <w:b/>
          <w:sz w:val="24"/>
          <w:szCs w:val="24"/>
        </w:rPr>
        <w:t>, 784 F.3d 944, 949-50 (4</w:t>
      </w:r>
      <w:r w:rsidRPr="00D84961"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 w:rsidRPr="00D84961">
        <w:rPr>
          <w:rFonts w:ascii="Times New Roman" w:hAnsi="Times New Roman" w:cs="Times New Roman"/>
          <w:b/>
          <w:sz w:val="24"/>
          <w:szCs w:val="24"/>
        </w:rPr>
        <w:t xml:space="preserve"> Cir. 2015):</w:t>
      </w:r>
      <w:r w:rsidRPr="00D84961">
        <w:rPr>
          <w:rFonts w:ascii="Times New Roman" w:hAnsi="Times New Roman" w:cs="Times New Roman"/>
          <w:bCs/>
          <w:sz w:val="24"/>
          <w:szCs w:val="24"/>
        </w:rPr>
        <w:t xml:space="preserve"> recognize</w:t>
      </w:r>
      <w:r>
        <w:rPr>
          <w:rFonts w:ascii="Times New Roman" w:hAnsi="Times New Roman" w:cs="Times New Roman"/>
          <w:bCs/>
          <w:sz w:val="24"/>
          <w:szCs w:val="24"/>
        </w:rPr>
        <w:t>s</w:t>
      </w:r>
      <w:r w:rsidR="00D60FFB">
        <w:rPr>
          <w:rFonts w:ascii="Times New Roman" w:hAnsi="Times New Roman" w:cs="Times New Roman"/>
          <w:bCs/>
          <w:sz w:val="24"/>
          <w:szCs w:val="24"/>
        </w:rPr>
        <w:t xml:space="preserve"> nexus to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60FFB">
        <w:rPr>
          <w:rFonts w:ascii="Times New Roman" w:hAnsi="Times New Roman" w:cs="Times New Roman"/>
          <w:bCs/>
          <w:sz w:val="24"/>
          <w:szCs w:val="24"/>
        </w:rPr>
        <w:t>family-based PSG.</w:t>
      </w:r>
    </w:p>
    <w:p w14:paraId="49E63618" w14:textId="41A6AB7D" w:rsidR="00F23676" w:rsidRPr="0008030B" w:rsidRDefault="004B7D17" w:rsidP="005B77DA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Matter of J-B-N- &amp; S-M-</w:t>
      </w:r>
      <w:r>
        <w:rPr>
          <w:rFonts w:ascii="Times New Roman" w:hAnsi="Times New Roman" w:cs="Times New Roman"/>
          <w:b/>
          <w:sz w:val="24"/>
          <w:szCs w:val="24"/>
        </w:rPr>
        <w:t>, 24 I&amp;N Dec. 208, 214 (BIA 2007):</w:t>
      </w:r>
      <w:r>
        <w:rPr>
          <w:rFonts w:ascii="Times New Roman" w:hAnsi="Times New Roman" w:cs="Times New Roman"/>
          <w:bCs/>
          <w:sz w:val="24"/>
          <w:szCs w:val="24"/>
        </w:rPr>
        <w:t xml:space="preserve"> a protected ground “cannot be incidental, tangential, superficial, or subordinate to another reason for harm.”</w:t>
      </w:r>
    </w:p>
    <w:p w14:paraId="35A8131C" w14:textId="33F8FFB8" w:rsidR="0008030B" w:rsidRPr="00D84961" w:rsidRDefault="00E56CA6" w:rsidP="005B77DA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Ndayshimiye v. A.G.</w:t>
      </w:r>
      <w:r>
        <w:rPr>
          <w:rFonts w:ascii="Times New Roman" w:hAnsi="Times New Roman" w:cs="Times New Roman"/>
          <w:b/>
          <w:sz w:val="24"/>
          <w:szCs w:val="24"/>
        </w:rPr>
        <w:t>, 557 F.3d 124, 129-31 (3d Cir. 2009)</w:t>
      </w:r>
      <w:r w:rsidR="00F23676">
        <w:rPr>
          <w:rFonts w:ascii="Times New Roman" w:hAnsi="Times New Roman" w:cs="Times New Roman"/>
          <w:b/>
          <w:sz w:val="24"/>
          <w:szCs w:val="24"/>
        </w:rPr>
        <w:t>:</w:t>
      </w:r>
      <w:r w:rsidR="00F23676">
        <w:rPr>
          <w:rFonts w:ascii="Times New Roman" w:hAnsi="Times New Roman" w:cs="Times New Roman"/>
          <w:bCs/>
          <w:sz w:val="24"/>
          <w:szCs w:val="24"/>
        </w:rPr>
        <w:t xml:space="preserve"> rejects BIA’s idea</w:t>
      </w:r>
      <w:r w:rsidR="005960F3">
        <w:rPr>
          <w:rFonts w:ascii="Times New Roman" w:hAnsi="Times New Roman" w:cs="Times New Roman"/>
          <w:bCs/>
          <w:sz w:val="24"/>
          <w:szCs w:val="24"/>
        </w:rPr>
        <w:t xml:space="preserve"> (in </w:t>
      </w:r>
      <w:r w:rsidR="005960F3">
        <w:rPr>
          <w:rFonts w:ascii="Times New Roman" w:hAnsi="Times New Roman" w:cs="Times New Roman"/>
          <w:bCs/>
          <w:i/>
          <w:iCs/>
          <w:sz w:val="24"/>
          <w:szCs w:val="24"/>
        </w:rPr>
        <w:t>J-B-N-</w:t>
      </w:r>
      <w:r w:rsidR="005960F3">
        <w:rPr>
          <w:rFonts w:ascii="Times New Roman" w:hAnsi="Times New Roman" w:cs="Times New Roman"/>
          <w:bCs/>
          <w:sz w:val="24"/>
          <w:szCs w:val="24"/>
        </w:rPr>
        <w:t xml:space="preserve"> ^^)</w:t>
      </w:r>
      <w:r w:rsidR="00F23676">
        <w:rPr>
          <w:rFonts w:ascii="Times New Roman" w:hAnsi="Times New Roman" w:cs="Times New Roman"/>
          <w:bCs/>
          <w:sz w:val="24"/>
          <w:szCs w:val="24"/>
        </w:rPr>
        <w:t xml:space="preserve"> that a protected ground cannot be </w:t>
      </w:r>
      <w:r w:rsidR="00F23676">
        <w:rPr>
          <w:rFonts w:ascii="Times New Roman" w:hAnsi="Times New Roman" w:cs="Times New Roman"/>
          <w:bCs/>
          <w:i/>
          <w:iCs/>
          <w:sz w:val="24"/>
          <w:szCs w:val="24"/>
        </w:rPr>
        <w:t>subordinate</w:t>
      </w:r>
      <w:r w:rsidR="00F23676">
        <w:rPr>
          <w:rFonts w:ascii="Times New Roman" w:hAnsi="Times New Roman" w:cs="Times New Roman"/>
          <w:bCs/>
          <w:sz w:val="24"/>
          <w:szCs w:val="24"/>
        </w:rPr>
        <w:t xml:space="preserve"> to another reason for harm.</w:t>
      </w:r>
    </w:p>
    <w:p w14:paraId="20453BC7" w14:textId="77777777" w:rsidR="00077658" w:rsidRPr="00D84961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C8" w14:textId="77777777" w:rsidR="00077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Relevant U.S. History:</w:t>
      </w:r>
    </w:p>
    <w:p w14:paraId="5BD5676D" w14:textId="7D7A5AF3" w:rsidR="005960F3" w:rsidRPr="00214543" w:rsidRDefault="00214543" w:rsidP="005960F3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Jan. </w:t>
      </w:r>
      <w:r w:rsidR="005960F3">
        <w:rPr>
          <w:rFonts w:ascii="Times New Roman" w:hAnsi="Times New Roman" w:cs="Times New Roman"/>
          <w:b/>
          <w:sz w:val="24"/>
          <w:szCs w:val="24"/>
        </w:rPr>
        <w:t>2017-</w:t>
      </w:r>
      <w:r>
        <w:rPr>
          <w:rFonts w:ascii="Times New Roman" w:hAnsi="Times New Roman" w:cs="Times New Roman"/>
          <w:b/>
          <w:sz w:val="24"/>
          <w:szCs w:val="24"/>
        </w:rPr>
        <w:t>Jan. 2021:</w:t>
      </w:r>
      <w:r>
        <w:rPr>
          <w:rFonts w:ascii="Times New Roman" w:hAnsi="Times New Roman" w:cs="Times New Roman"/>
          <w:bCs/>
          <w:sz w:val="24"/>
          <w:szCs w:val="24"/>
        </w:rPr>
        <w:t xml:space="preserve"> Trump 1.0</w:t>
      </w:r>
    </w:p>
    <w:p w14:paraId="4933B716" w14:textId="0B8EA307" w:rsidR="00214543" w:rsidRPr="00214543" w:rsidRDefault="00214543" w:rsidP="005960F3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Jan. 2021-Jan. 2025:</w:t>
      </w:r>
      <w:r>
        <w:rPr>
          <w:rFonts w:ascii="Times New Roman" w:hAnsi="Times New Roman" w:cs="Times New Roman"/>
          <w:bCs/>
          <w:sz w:val="24"/>
          <w:szCs w:val="24"/>
        </w:rPr>
        <w:t xml:space="preserve"> Biden</w:t>
      </w:r>
    </w:p>
    <w:p w14:paraId="32F6726B" w14:textId="2C29C765" w:rsidR="00214543" w:rsidRPr="00214543" w:rsidRDefault="00214543" w:rsidP="005960F3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Jan. 2025-Jan. 2029:</w:t>
      </w:r>
      <w:r>
        <w:rPr>
          <w:rFonts w:ascii="Times New Roman" w:hAnsi="Times New Roman" w:cs="Times New Roman"/>
          <w:bCs/>
          <w:sz w:val="24"/>
          <w:szCs w:val="24"/>
        </w:rPr>
        <w:t xml:space="preserve"> Trump 2.0</w:t>
      </w:r>
    </w:p>
    <w:p w14:paraId="15FC65A8" w14:textId="77777777" w:rsidR="00214543" w:rsidRPr="005960F3" w:rsidRDefault="00214543" w:rsidP="00214543">
      <w:pPr>
        <w:pStyle w:val="ListParagraph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7D632CE2" w14:textId="0B2138C9" w:rsidR="00195E1C" w:rsidRDefault="00195E1C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Applicant’s Argument</w:t>
      </w:r>
      <w:r w:rsidR="00954403">
        <w:rPr>
          <w:rFonts w:ascii="Times New Roman" w:hAnsi="Times New Roman" w:cs="Times New Roman"/>
          <w:b/>
          <w:sz w:val="24"/>
          <w:szCs w:val="24"/>
        </w:rPr>
        <w:t xml:space="preserve"> &amp; IJ’s Decision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14:paraId="6BF0F40D" w14:textId="496DDEE5" w:rsidR="00195E1C" w:rsidRPr="00195E1C" w:rsidRDefault="00954403" w:rsidP="00195E1C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People in Honduran neighborhoods know each other </w:t>
      </w:r>
      <w:r w:rsidR="00B70D03">
        <w:rPr>
          <w:rFonts w:ascii="Times New Roman" w:hAnsi="Times New Roman" w:cs="Times New Roman"/>
          <w:bCs/>
          <w:sz w:val="24"/>
          <w:szCs w:val="24"/>
        </w:rPr>
        <w:t>and are familiar with each other’s lives.</w:t>
      </w:r>
      <w:r w:rsidR="00443B4D">
        <w:rPr>
          <w:rFonts w:ascii="Times New Roman" w:hAnsi="Times New Roman" w:cs="Times New Roman"/>
          <w:bCs/>
          <w:sz w:val="24"/>
          <w:szCs w:val="24"/>
        </w:rPr>
        <w:t xml:space="preserve"> Therefore, the PSG of a</w:t>
      </w:r>
      <w:r w:rsidR="00C37ED0">
        <w:rPr>
          <w:rFonts w:ascii="Times New Roman" w:hAnsi="Times New Roman" w:cs="Times New Roman"/>
          <w:bCs/>
          <w:sz w:val="24"/>
          <w:szCs w:val="24"/>
        </w:rPr>
        <w:t xml:space="preserve"> nuclear family from that neighborhood is “socially distinct.”</w:t>
      </w:r>
      <w:r w:rsidR="00B70D03">
        <w:rPr>
          <w:rFonts w:ascii="Times New Roman" w:hAnsi="Times New Roman" w:cs="Times New Roman"/>
          <w:bCs/>
          <w:sz w:val="24"/>
          <w:szCs w:val="24"/>
        </w:rPr>
        <w:t xml:space="preserve"> 682</w:t>
      </w:r>
    </w:p>
    <w:p w14:paraId="20453BC9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CA" w14:textId="3A8A139A" w:rsidR="00077658" w:rsidRDefault="00936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Discussion</w:t>
      </w:r>
      <w:r w:rsidR="00077658" w:rsidRPr="00936658">
        <w:rPr>
          <w:rFonts w:ascii="Times New Roman" w:hAnsi="Times New Roman" w:cs="Times New Roman"/>
          <w:b/>
          <w:sz w:val="24"/>
          <w:szCs w:val="24"/>
        </w:rPr>
        <w:t>:</w:t>
      </w:r>
    </w:p>
    <w:p w14:paraId="503A4FDA" w14:textId="1E29703A" w:rsidR="00073DD1" w:rsidRDefault="00073DD1" w:rsidP="00611370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“In 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Matter of L-E-A- II</w:t>
      </w:r>
      <w:r>
        <w:rPr>
          <w:rFonts w:ascii="Times New Roman" w:hAnsi="Times New Roman" w:cs="Times New Roman"/>
          <w:bCs/>
          <w:sz w:val="24"/>
          <w:szCs w:val="24"/>
        </w:rPr>
        <w:t>, the Attorney General held that an applicant’s immediate family ‘generally will not be distinct on a societal scale, whether or not it attracts the attention of criminals who seek to exploit that family relationship in the service of their crimes.</w:t>
      </w:r>
      <w:r w:rsidR="00611370">
        <w:rPr>
          <w:rFonts w:ascii="Times New Roman" w:hAnsi="Times New Roman" w:cs="Times New Roman"/>
          <w:bCs/>
          <w:sz w:val="24"/>
          <w:szCs w:val="24"/>
        </w:rPr>
        <w:t>’</w:t>
      </w:r>
      <w:r>
        <w:rPr>
          <w:rFonts w:ascii="Times New Roman" w:hAnsi="Times New Roman" w:cs="Times New Roman"/>
          <w:bCs/>
          <w:sz w:val="24"/>
          <w:szCs w:val="24"/>
        </w:rPr>
        <w:t>”</w:t>
      </w:r>
      <w:r>
        <w:rPr>
          <w:rFonts w:ascii="Times New Roman" w:hAnsi="Times New Roman" w:cs="Times New Roman"/>
          <w:bCs/>
          <w:sz w:val="24"/>
          <w:szCs w:val="24"/>
        </w:rPr>
        <w:tab/>
        <w:t>681</w:t>
      </w:r>
      <w:r w:rsidR="00611370">
        <w:rPr>
          <w:rFonts w:ascii="Times New Roman" w:hAnsi="Times New Roman" w:cs="Times New Roman"/>
          <w:bCs/>
          <w:sz w:val="24"/>
          <w:szCs w:val="24"/>
        </w:rPr>
        <w:t xml:space="preserve"> (quoting </w:t>
      </w:r>
      <w:r w:rsidR="00611370">
        <w:rPr>
          <w:rFonts w:ascii="Times New Roman" w:hAnsi="Times New Roman" w:cs="Times New Roman"/>
          <w:bCs/>
          <w:i/>
          <w:iCs/>
          <w:sz w:val="24"/>
          <w:szCs w:val="24"/>
        </w:rPr>
        <w:t>L-E-A- II</w:t>
      </w:r>
      <w:r w:rsidR="00611370">
        <w:rPr>
          <w:rFonts w:ascii="Times New Roman" w:hAnsi="Times New Roman" w:cs="Times New Roman"/>
          <w:bCs/>
          <w:sz w:val="24"/>
          <w:szCs w:val="24"/>
        </w:rPr>
        <w:t xml:space="preserve"> at </w:t>
      </w:r>
      <w:r w:rsidR="00AB6035">
        <w:rPr>
          <w:rFonts w:ascii="Times New Roman" w:hAnsi="Times New Roman" w:cs="Times New Roman"/>
          <w:bCs/>
          <w:sz w:val="24"/>
          <w:szCs w:val="24"/>
        </w:rPr>
        <w:t>582)</w:t>
      </w:r>
    </w:p>
    <w:p w14:paraId="77CF4FCF" w14:textId="73DBB578" w:rsidR="00AB6035" w:rsidRDefault="00AB6035" w:rsidP="00AB6035">
      <w:pPr>
        <w:pStyle w:val="ListParagraph"/>
        <w:numPr>
          <w:ilvl w:val="1"/>
          <w:numId w:val="1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Applicant “must show that his proposed group has some greater meaning in society.” 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L-E-A- II</w:t>
      </w:r>
      <w:r>
        <w:rPr>
          <w:rFonts w:ascii="Times New Roman" w:hAnsi="Times New Roman" w:cs="Times New Roman"/>
          <w:bCs/>
          <w:sz w:val="24"/>
          <w:szCs w:val="24"/>
        </w:rPr>
        <w:t xml:space="preserve"> at </w:t>
      </w:r>
      <w:r w:rsidR="00E706B9">
        <w:rPr>
          <w:rFonts w:ascii="Times New Roman" w:hAnsi="Times New Roman" w:cs="Times New Roman"/>
          <w:bCs/>
          <w:sz w:val="24"/>
          <w:szCs w:val="24"/>
        </w:rPr>
        <w:t>594.</w:t>
      </w:r>
    </w:p>
    <w:p w14:paraId="4391C9B9" w14:textId="439F84C2" w:rsidR="00E706B9" w:rsidRPr="00B806D5" w:rsidRDefault="00E706B9" w:rsidP="00AB6035">
      <w:pPr>
        <w:pStyle w:val="ListParagraph"/>
        <w:numPr>
          <w:ilvl w:val="1"/>
          <w:numId w:val="1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“It is not enough that the family be set apart in the eye of the persecutor, because it is the perception of the relevant societ</w:t>
      </w:r>
      <w:r w:rsidR="005A04EB">
        <w:rPr>
          <w:rFonts w:ascii="Times New Roman" w:hAnsi="Times New Roman" w:cs="Times New Roman"/>
          <w:bCs/>
          <w:sz w:val="24"/>
          <w:szCs w:val="24"/>
        </w:rPr>
        <w:t>y</w:t>
      </w:r>
      <w:r>
        <w:rPr>
          <w:rFonts w:ascii="Times New Roman" w:hAnsi="Times New Roman" w:cs="Times New Roman"/>
          <w:bCs/>
          <w:sz w:val="24"/>
          <w:szCs w:val="24"/>
        </w:rPr>
        <w:t>—rather</w:t>
      </w:r>
      <w:r w:rsidR="005A04EB">
        <w:rPr>
          <w:rFonts w:ascii="Times New Roman" w:hAnsi="Times New Roman" w:cs="Times New Roman"/>
          <w:bCs/>
          <w:sz w:val="24"/>
          <w:szCs w:val="24"/>
        </w:rPr>
        <w:t xml:space="preserve"> than the perception of the alien’s actual or potential persecutors—that matters.” </w:t>
      </w:r>
      <w:r w:rsidR="005A04EB">
        <w:rPr>
          <w:rFonts w:ascii="Times New Roman" w:hAnsi="Times New Roman" w:cs="Times New Roman"/>
          <w:bCs/>
          <w:i/>
          <w:iCs/>
          <w:sz w:val="24"/>
          <w:szCs w:val="24"/>
        </w:rPr>
        <w:t>Id.</w:t>
      </w:r>
    </w:p>
    <w:p w14:paraId="7C0C8D1B" w14:textId="77777777" w:rsidR="00B806D5" w:rsidRDefault="00B806D5" w:rsidP="00B806D5">
      <w:pPr>
        <w:pStyle w:val="ListParagraph"/>
        <w:spacing w:after="0"/>
        <w:ind w:left="144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D9DB79D" w14:textId="2431A50E" w:rsidR="005A04EB" w:rsidRDefault="00B70D03" w:rsidP="005A04EB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“While [the IJ’s] finding is grounded in the record and is not clearly erroneous, the Immigration Judge erred by focusing on a specific neighborhood to determine the concept of social distinction, instead of </w:t>
      </w:r>
      <w:r>
        <w:rPr>
          <w:rFonts w:ascii="Times New Roman" w:hAnsi="Times New Roman" w:cs="Times New Roman"/>
          <w:b/>
          <w:sz w:val="24"/>
          <w:szCs w:val="24"/>
        </w:rPr>
        <w:t>the relevant society at large.</w:t>
      </w:r>
      <w:r>
        <w:rPr>
          <w:rFonts w:ascii="Times New Roman" w:hAnsi="Times New Roman" w:cs="Times New Roman"/>
          <w:bCs/>
          <w:sz w:val="24"/>
          <w:szCs w:val="24"/>
        </w:rPr>
        <w:t xml:space="preserve">” </w:t>
      </w:r>
      <w:r w:rsidR="001A6ECE">
        <w:rPr>
          <w:rFonts w:ascii="Times New Roman" w:hAnsi="Times New Roman" w:cs="Times New Roman"/>
          <w:bCs/>
          <w:sz w:val="24"/>
          <w:szCs w:val="24"/>
        </w:rPr>
        <w:tab/>
        <w:t>682 (emphasis added)</w:t>
      </w:r>
      <w:r w:rsidR="001A6ECE">
        <w:rPr>
          <w:rFonts w:ascii="Times New Roman" w:hAnsi="Times New Roman" w:cs="Times New Roman"/>
          <w:bCs/>
          <w:sz w:val="24"/>
          <w:szCs w:val="24"/>
        </w:rPr>
        <w:tab/>
      </w:r>
    </w:p>
    <w:p w14:paraId="4ED54C23" w14:textId="6F776FF1" w:rsidR="001A6ECE" w:rsidRDefault="001A6ECE" w:rsidP="00674F3B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“</w:t>
      </w:r>
      <w:r w:rsidR="006F29DF">
        <w:rPr>
          <w:rFonts w:ascii="Times New Roman" w:hAnsi="Times New Roman" w:cs="Times New Roman"/>
          <w:b/>
          <w:sz w:val="24"/>
          <w:szCs w:val="24"/>
        </w:rPr>
        <w:t>Society at large”</w:t>
      </w:r>
      <w:r w:rsidR="006F29DF">
        <w:rPr>
          <w:rFonts w:ascii="Times New Roman" w:hAnsi="Times New Roman" w:cs="Times New Roman"/>
          <w:bCs/>
          <w:sz w:val="24"/>
          <w:szCs w:val="24"/>
        </w:rPr>
        <w:t xml:space="preserve"> needs to be able to recognize the family</w:t>
      </w:r>
      <w:r w:rsidR="00674F3B">
        <w:rPr>
          <w:rFonts w:ascii="Times New Roman" w:hAnsi="Times New Roman" w:cs="Times New Roman"/>
          <w:bCs/>
          <w:sz w:val="24"/>
          <w:szCs w:val="24"/>
        </w:rPr>
        <w:t xml:space="preserve">. Family </w:t>
      </w:r>
      <w:r w:rsidR="00546AA9">
        <w:rPr>
          <w:rFonts w:ascii="Times New Roman" w:hAnsi="Times New Roman" w:cs="Times New Roman"/>
          <w:bCs/>
          <w:sz w:val="24"/>
          <w:szCs w:val="24"/>
        </w:rPr>
        <w:t>must</w:t>
      </w:r>
      <w:r w:rsidR="00674F3B">
        <w:rPr>
          <w:rFonts w:ascii="Times New Roman" w:hAnsi="Times New Roman" w:cs="Times New Roman"/>
          <w:bCs/>
          <w:sz w:val="24"/>
          <w:szCs w:val="24"/>
        </w:rPr>
        <w:t xml:space="preserve"> have “greater </w:t>
      </w:r>
      <w:r w:rsidR="00CD3395">
        <w:rPr>
          <w:rFonts w:ascii="Times New Roman" w:hAnsi="Times New Roman" w:cs="Times New Roman"/>
          <w:bCs/>
          <w:sz w:val="24"/>
          <w:szCs w:val="24"/>
        </w:rPr>
        <w:t>societal</w:t>
      </w:r>
      <w:r w:rsidR="00674F3B">
        <w:rPr>
          <w:rFonts w:ascii="Times New Roman" w:hAnsi="Times New Roman" w:cs="Times New Roman"/>
          <w:bCs/>
          <w:sz w:val="24"/>
          <w:szCs w:val="24"/>
        </w:rPr>
        <w:t xml:space="preserve"> import”</w:t>
      </w:r>
      <w:r w:rsidR="00674F3B">
        <w:rPr>
          <w:rFonts w:ascii="Times New Roman" w:hAnsi="Times New Roman" w:cs="Times New Roman"/>
          <w:bCs/>
          <w:sz w:val="24"/>
          <w:szCs w:val="24"/>
        </w:rPr>
        <w:tab/>
        <w:t>682</w:t>
      </w:r>
      <w:r w:rsidR="00CD3395">
        <w:rPr>
          <w:rFonts w:ascii="Times New Roman" w:hAnsi="Times New Roman" w:cs="Times New Roman"/>
          <w:bCs/>
          <w:sz w:val="24"/>
          <w:szCs w:val="24"/>
        </w:rPr>
        <w:t xml:space="preserve"> (quoting </w:t>
      </w:r>
      <w:r w:rsidR="00CD3395">
        <w:rPr>
          <w:rFonts w:ascii="Times New Roman" w:hAnsi="Times New Roman" w:cs="Times New Roman"/>
          <w:bCs/>
          <w:i/>
          <w:iCs/>
          <w:sz w:val="24"/>
          <w:szCs w:val="24"/>
        </w:rPr>
        <w:t>L-E-A- II</w:t>
      </w:r>
      <w:r w:rsidR="00CD3395">
        <w:rPr>
          <w:rFonts w:ascii="Times New Roman" w:hAnsi="Times New Roman" w:cs="Times New Roman"/>
          <w:bCs/>
          <w:sz w:val="24"/>
          <w:szCs w:val="24"/>
        </w:rPr>
        <w:t xml:space="preserve"> at 595)</w:t>
      </w:r>
    </w:p>
    <w:p w14:paraId="5533D340" w14:textId="77777777" w:rsidR="00B806D5" w:rsidRDefault="00B806D5" w:rsidP="00B806D5">
      <w:pPr>
        <w:pStyle w:val="ListParagraph"/>
        <w:spacing w:after="0"/>
        <w:ind w:left="1440"/>
        <w:rPr>
          <w:rFonts w:ascii="Times New Roman" w:hAnsi="Times New Roman" w:cs="Times New Roman"/>
          <w:bCs/>
          <w:sz w:val="24"/>
          <w:szCs w:val="24"/>
        </w:rPr>
      </w:pPr>
    </w:p>
    <w:p w14:paraId="5C949A9A" w14:textId="1B6EFA22" w:rsidR="00B806D5" w:rsidRDefault="003C74DC" w:rsidP="00D15F0E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“Society’s perception” – for example:</w:t>
      </w:r>
    </w:p>
    <w:p w14:paraId="13851F2C" w14:textId="5040F1E2" w:rsidR="003C74DC" w:rsidRDefault="003C74DC" w:rsidP="003C74DC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Distinct and recognizable subclans in Somalia (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Matter of H-</w:t>
      </w:r>
      <w:r>
        <w:rPr>
          <w:rFonts w:ascii="Times New Roman" w:hAnsi="Times New Roman" w:cs="Times New Roman"/>
          <w:bCs/>
          <w:sz w:val="24"/>
          <w:szCs w:val="24"/>
        </w:rPr>
        <w:t>)</w:t>
      </w:r>
    </w:p>
    <w:p w14:paraId="5238E677" w14:textId="77777777" w:rsidR="00424F3C" w:rsidRDefault="00424F3C" w:rsidP="00424F3C">
      <w:pPr>
        <w:pStyle w:val="ListParagraph"/>
        <w:spacing w:after="0"/>
        <w:ind w:left="1440"/>
        <w:rPr>
          <w:rFonts w:ascii="Times New Roman" w:hAnsi="Times New Roman" w:cs="Times New Roman"/>
          <w:bCs/>
          <w:sz w:val="24"/>
          <w:szCs w:val="24"/>
        </w:rPr>
      </w:pPr>
    </w:p>
    <w:p w14:paraId="5E21706D" w14:textId="318AABD0" w:rsidR="00B1776F" w:rsidRDefault="007108AF" w:rsidP="00B1776F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“This reference to society must be viewed within its statutory context</w:t>
      </w:r>
      <w:r w:rsidR="00424F3C">
        <w:rPr>
          <w:rFonts w:ascii="Times New Roman" w:hAnsi="Times New Roman" w:cs="Times New Roman"/>
          <w:bCs/>
          <w:sz w:val="24"/>
          <w:szCs w:val="24"/>
        </w:rPr>
        <w:t xml:space="preserve"> of nationwide persecution, w</w:t>
      </w:r>
      <w:r w:rsidR="00236039">
        <w:rPr>
          <w:rFonts w:ascii="Times New Roman" w:hAnsi="Times New Roman" w:cs="Times New Roman"/>
          <w:bCs/>
          <w:sz w:val="24"/>
          <w:szCs w:val="24"/>
        </w:rPr>
        <w:t>h</w:t>
      </w:r>
      <w:r w:rsidR="00424F3C">
        <w:rPr>
          <w:rFonts w:ascii="Times New Roman" w:hAnsi="Times New Roman" w:cs="Times New Roman"/>
          <w:bCs/>
          <w:sz w:val="24"/>
          <w:szCs w:val="24"/>
        </w:rPr>
        <w:t>ich is a fundamental aspect of fear-based relief.”</w:t>
      </w:r>
      <w:r w:rsidR="00424F3C">
        <w:rPr>
          <w:rFonts w:ascii="Times New Roman" w:hAnsi="Times New Roman" w:cs="Times New Roman"/>
          <w:bCs/>
          <w:sz w:val="24"/>
          <w:szCs w:val="24"/>
        </w:rPr>
        <w:tab/>
        <w:t>683</w:t>
      </w:r>
    </w:p>
    <w:p w14:paraId="56A7990D" w14:textId="77777777" w:rsidR="00915F26" w:rsidRDefault="00915F26" w:rsidP="00915F26">
      <w:pPr>
        <w:pStyle w:val="ListParagraph"/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14:paraId="6AC1D1C6" w14:textId="70AEC04B" w:rsidR="00936CAE" w:rsidRDefault="00936CAE" w:rsidP="00B1776F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“A focus on whether a proposed group is socially distinct within a neighborhood or other limited geographic location within a country is inconsistent with</w:t>
      </w:r>
      <w:r w:rsidR="00B731E3">
        <w:rPr>
          <w:rFonts w:ascii="Times New Roman" w:hAnsi="Times New Roman" w:cs="Times New Roman"/>
          <w:bCs/>
          <w:sz w:val="24"/>
          <w:szCs w:val="24"/>
        </w:rPr>
        <w:t xml:space="preserve"> the purpose of nationwide protection contemplated by asylum and statutory withholding of removal.”</w:t>
      </w:r>
      <w:r w:rsidR="00B731E3">
        <w:rPr>
          <w:rFonts w:ascii="Times New Roman" w:hAnsi="Times New Roman" w:cs="Times New Roman"/>
          <w:bCs/>
          <w:sz w:val="24"/>
          <w:szCs w:val="24"/>
        </w:rPr>
        <w:tab/>
      </w:r>
      <w:r w:rsidR="00346C5E">
        <w:rPr>
          <w:rFonts w:ascii="Times New Roman" w:hAnsi="Times New Roman" w:cs="Times New Roman"/>
          <w:bCs/>
          <w:sz w:val="24"/>
          <w:szCs w:val="24"/>
        </w:rPr>
        <w:t>684</w:t>
      </w:r>
    </w:p>
    <w:p w14:paraId="7414994D" w14:textId="77777777" w:rsidR="00775DFC" w:rsidRDefault="00775DFC" w:rsidP="00775DFC">
      <w:pPr>
        <w:pStyle w:val="ListParagraph"/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14:paraId="44EFA490" w14:textId="52BCFF69" w:rsidR="00346C5E" w:rsidRDefault="00346C5E" w:rsidP="00B1776F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“Merely focusing on a limited geographic location begs the question [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sic</w:t>
      </w:r>
      <w:r>
        <w:rPr>
          <w:rFonts w:ascii="Times New Roman" w:hAnsi="Times New Roman" w:cs="Times New Roman"/>
          <w:bCs/>
          <w:sz w:val="24"/>
          <w:szCs w:val="24"/>
        </w:rPr>
        <w:t xml:space="preserve">] </w:t>
      </w:r>
      <w:r w:rsidR="00775DFC">
        <w:rPr>
          <w:rFonts w:ascii="Times New Roman" w:hAnsi="Times New Roman" w:cs="Times New Roman"/>
          <w:bCs/>
          <w:sz w:val="24"/>
          <w:szCs w:val="24"/>
        </w:rPr>
        <w:t>of why that group is not distinct amongst a larger population.”</w:t>
      </w:r>
      <w:r w:rsidR="00775DFC">
        <w:rPr>
          <w:rFonts w:ascii="Times New Roman" w:hAnsi="Times New Roman" w:cs="Times New Roman"/>
          <w:bCs/>
          <w:sz w:val="24"/>
          <w:szCs w:val="24"/>
        </w:rPr>
        <w:tab/>
        <w:t>684</w:t>
      </w:r>
    </w:p>
    <w:p w14:paraId="5B76CABC" w14:textId="4F1FB07D" w:rsidR="001132F0" w:rsidRDefault="001132F0" w:rsidP="001132F0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Religion &amp; political opinion have to do with the WHOLE country, so these PSGs should also. 684</w:t>
      </w:r>
    </w:p>
    <w:p w14:paraId="1210F80D" w14:textId="77777777" w:rsidR="00915F26" w:rsidRDefault="00915F26" w:rsidP="00915F26">
      <w:pPr>
        <w:pStyle w:val="ListParagraph"/>
        <w:spacing w:after="0"/>
        <w:ind w:left="1440"/>
        <w:rPr>
          <w:rFonts w:ascii="Times New Roman" w:hAnsi="Times New Roman" w:cs="Times New Roman"/>
          <w:bCs/>
          <w:sz w:val="24"/>
          <w:szCs w:val="24"/>
        </w:rPr>
      </w:pPr>
    </w:p>
    <w:p w14:paraId="009BB10E" w14:textId="731246DB" w:rsidR="00036FDB" w:rsidRDefault="00036FDB" w:rsidP="00036FDB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“It would render the concept of social distinction </w:t>
      </w:r>
      <w:r w:rsidRPr="001F53CC">
        <w:rPr>
          <w:rFonts w:ascii="Times New Roman" w:hAnsi="Times New Roman" w:cs="Times New Roman"/>
          <w:b/>
          <w:sz w:val="24"/>
          <w:szCs w:val="24"/>
        </w:rPr>
        <w:t>meaningless</w:t>
      </w:r>
      <w:r>
        <w:rPr>
          <w:rFonts w:ascii="Times New Roman" w:hAnsi="Times New Roman" w:cs="Times New Roman"/>
          <w:bCs/>
          <w:sz w:val="24"/>
          <w:szCs w:val="24"/>
        </w:rPr>
        <w:t xml:space="preserve"> if review is limited to a minimal geographic location where neighbors are familiar with one another but lack that similar familiarity outside the location within their country.”</w:t>
      </w:r>
      <w:r>
        <w:rPr>
          <w:rFonts w:ascii="Times New Roman" w:hAnsi="Times New Roman" w:cs="Times New Roman"/>
          <w:bCs/>
          <w:sz w:val="24"/>
          <w:szCs w:val="24"/>
        </w:rPr>
        <w:tab/>
        <w:t>684</w:t>
      </w:r>
      <w:r w:rsidR="001F53CC">
        <w:rPr>
          <w:rFonts w:ascii="Times New Roman" w:hAnsi="Times New Roman" w:cs="Times New Roman"/>
          <w:bCs/>
          <w:sz w:val="24"/>
          <w:szCs w:val="24"/>
        </w:rPr>
        <w:t xml:space="preserve"> (emphasis added)</w:t>
      </w:r>
      <w:r w:rsidR="00CF6CBE">
        <w:rPr>
          <w:rFonts w:ascii="Times New Roman" w:hAnsi="Times New Roman" w:cs="Times New Roman"/>
          <w:bCs/>
          <w:sz w:val="24"/>
          <w:szCs w:val="24"/>
        </w:rPr>
        <w:t xml:space="preserve"> (Challenge this! See notes below.)</w:t>
      </w:r>
    </w:p>
    <w:p w14:paraId="7DE76693" w14:textId="77777777" w:rsidR="00915F26" w:rsidRDefault="00915F26" w:rsidP="00915F26">
      <w:pPr>
        <w:pStyle w:val="ListParagraph"/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14:paraId="730A8B32" w14:textId="4F7B54BA" w:rsidR="00A73E7A" w:rsidRDefault="00A73E7A" w:rsidP="00036FDB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PSG can’t be too broad or too narrow! 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Matter of A-B- I</w:t>
      </w:r>
      <w:r>
        <w:rPr>
          <w:rFonts w:ascii="Times New Roman" w:hAnsi="Times New Roman" w:cs="Times New Roman"/>
          <w:bCs/>
          <w:sz w:val="24"/>
          <w:szCs w:val="24"/>
        </w:rPr>
        <w:t xml:space="preserve"> at 336</w:t>
      </w:r>
      <w:r w:rsidR="00E23C01">
        <w:rPr>
          <w:rFonts w:ascii="Times New Roman" w:hAnsi="Times New Roman" w:cs="Times New Roman"/>
          <w:bCs/>
          <w:sz w:val="24"/>
          <w:szCs w:val="24"/>
        </w:rPr>
        <w:t>. “Focusing on too narrow a subset of society runs the risk that the proposed group will lack that larger significance to society.”</w:t>
      </w:r>
      <w:r w:rsidR="00A5716D">
        <w:rPr>
          <w:rFonts w:ascii="Times New Roman" w:hAnsi="Times New Roman" w:cs="Times New Roman"/>
          <w:bCs/>
          <w:sz w:val="24"/>
          <w:szCs w:val="24"/>
        </w:rPr>
        <w:t xml:space="preserve">    686</w:t>
      </w:r>
    </w:p>
    <w:p w14:paraId="310B059C" w14:textId="77777777" w:rsidR="00915F26" w:rsidRPr="00915F26" w:rsidRDefault="00915F26" w:rsidP="00915F26">
      <w:pPr>
        <w:pStyle w:val="ListParagraph"/>
        <w:rPr>
          <w:rFonts w:ascii="Times New Roman" w:hAnsi="Times New Roman" w:cs="Times New Roman"/>
          <w:bCs/>
          <w:sz w:val="24"/>
          <w:szCs w:val="24"/>
        </w:rPr>
      </w:pPr>
    </w:p>
    <w:p w14:paraId="726969B5" w14:textId="43B944EC" w:rsidR="00915F26" w:rsidRPr="00915F26" w:rsidRDefault="00C847FD" w:rsidP="00915F26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15F26">
        <w:rPr>
          <w:rFonts w:ascii="Times New Roman" w:hAnsi="Times New Roman" w:cs="Times New Roman"/>
          <w:b/>
          <w:sz w:val="24"/>
          <w:szCs w:val="24"/>
        </w:rPr>
        <w:t>Re. nexus in this case:</w:t>
      </w:r>
    </w:p>
    <w:p w14:paraId="582EBD31" w14:textId="7C70F097" w:rsidR="004C7A2C" w:rsidRDefault="00DD4637" w:rsidP="004C7A2C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Test from 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Matter of L-E-A- I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938E2">
        <w:rPr>
          <w:rFonts w:ascii="Times New Roman" w:hAnsi="Times New Roman" w:cs="Times New Roman"/>
          <w:bCs/>
          <w:sz w:val="24"/>
          <w:szCs w:val="24"/>
        </w:rPr>
        <w:t xml:space="preserve">(at 43-44) </w:t>
      </w:r>
      <w:r>
        <w:rPr>
          <w:rFonts w:ascii="Times New Roman" w:hAnsi="Times New Roman" w:cs="Times New Roman"/>
          <w:bCs/>
          <w:sz w:val="24"/>
          <w:szCs w:val="24"/>
        </w:rPr>
        <w:t>for determining nexus if there’s mixed motives:</w:t>
      </w:r>
    </w:p>
    <w:p w14:paraId="69AABF04" w14:textId="471124A0" w:rsidR="00DD4637" w:rsidRDefault="002D0113" w:rsidP="00DD4637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Protected ground must be a but-for cause of the wrongdoer’s acts</w:t>
      </w:r>
    </w:p>
    <w:p w14:paraId="3FC276D5" w14:textId="4CE82201" w:rsidR="002D0113" w:rsidRDefault="002D0113" w:rsidP="00DD4637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Protected ground must play more than a minor role – not incidental or tangential to the perpetrator’s actions</w:t>
      </w:r>
      <w:r w:rsidR="002228E2">
        <w:rPr>
          <w:rFonts w:ascii="Times New Roman" w:hAnsi="Times New Roman" w:cs="Times New Roman"/>
          <w:bCs/>
          <w:sz w:val="24"/>
          <w:szCs w:val="24"/>
        </w:rPr>
        <w:tab/>
      </w:r>
      <w:r w:rsidR="002228E2">
        <w:rPr>
          <w:rFonts w:ascii="Times New Roman" w:hAnsi="Times New Roman" w:cs="Times New Roman"/>
          <w:bCs/>
          <w:sz w:val="24"/>
          <w:szCs w:val="24"/>
        </w:rPr>
        <w:tab/>
        <w:t>687</w:t>
      </w:r>
    </w:p>
    <w:p w14:paraId="4C596E37" w14:textId="33DFD184" w:rsidR="00154DA6" w:rsidRDefault="00154DA6" w:rsidP="00154DA6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See 687-88 for </w:t>
      </w:r>
      <w:r w:rsidR="00DE7FED">
        <w:rPr>
          <w:rFonts w:ascii="Times New Roman" w:hAnsi="Times New Roman" w:cs="Times New Roman"/>
          <w:bCs/>
          <w:sz w:val="24"/>
          <w:szCs w:val="24"/>
        </w:rPr>
        <w:t>circuit court cases finding that PSG of family was just a means to an end, not a central reason for the persecution.</w:t>
      </w:r>
    </w:p>
    <w:p w14:paraId="07EEAD97" w14:textId="7C472A8B" w:rsidR="0002188A" w:rsidRDefault="0002188A" w:rsidP="0002188A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>Fourth Circuit</w:t>
      </w:r>
      <w:r w:rsidR="00184014">
        <w:rPr>
          <w:rFonts w:ascii="Times New Roman" w:hAnsi="Times New Roman" w:cs="Times New Roman"/>
          <w:bCs/>
          <w:sz w:val="24"/>
          <w:szCs w:val="24"/>
        </w:rPr>
        <w:t xml:space="preserve"> still </w:t>
      </w:r>
      <w:r w:rsidR="00DC4F7A">
        <w:rPr>
          <w:rFonts w:ascii="Times New Roman" w:hAnsi="Times New Roman" w:cs="Times New Roman"/>
          <w:bCs/>
          <w:sz w:val="24"/>
          <w:szCs w:val="24"/>
        </w:rPr>
        <w:t xml:space="preserve">recognizes family-based PSG as sufficient for nexus under </w:t>
      </w:r>
      <w:r w:rsidR="006C5169">
        <w:rPr>
          <w:rFonts w:ascii="Times New Roman" w:hAnsi="Times New Roman" w:cs="Times New Roman"/>
          <w:bCs/>
          <w:i/>
          <w:iCs/>
          <w:sz w:val="24"/>
          <w:szCs w:val="24"/>
        </w:rPr>
        <w:t>Hernandez-Avalos v. Lynch</w:t>
      </w:r>
      <w:r w:rsidR="006C5169">
        <w:rPr>
          <w:rFonts w:ascii="Times New Roman" w:hAnsi="Times New Roman" w:cs="Times New Roman"/>
          <w:bCs/>
          <w:sz w:val="24"/>
          <w:szCs w:val="24"/>
        </w:rPr>
        <w:t>, 784 F.3d 944, 949-50 (4</w:t>
      </w:r>
      <w:r w:rsidR="006C5169" w:rsidRPr="006C5169">
        <w:rPr>
          <w:rFonts w:ascii="Times New Roman" w:hAnsi="Times New Roman" w:cs="Times New Roman"/>
          <w:bCs/>
          <w:sz w:val="24"/>
          <w:szCs w:val="24"/>
          <w:vertAlign w:val="superscript"/>
        </w:rPr>
        <w:t>th</w:t>
      </w:r>
      <w:r w:rsidR="006C5169">
        <w:rPr>
          <w:rFonts w:ascii="Times New Roman" w:hAnsi="Times New Roman" w:cs="Times New Roman"/>
          <w:bCs/>
          <w:sz w:val="24"/>
          <w:szCs w:val="24"/>
        </w:rPr>
        <w:t xml:space="preserve"> Cir. 2015) (making today’s BIA froth at the mouth, see p. </w:t>
      </w:r>
      <w:r w:rsidR="00D84961">
        <w:rPr>
          <w:rFonts w:ascii="Times New Roman" w:hAnsi="Times New Roman" w:cs="Times New Roman"/>
          <w:bCs/>
          <w:sz w:val="24"/>
          <w:szCs w:val="24"/>
        </w:rPr>
        <w:t>688)</w:t>
      </w:r>
    </w:p>
    <w:p w14:paraId="224F4BA8" w14:textId="261AECCB" w:rsidR="00D12634" w:rsidRDefault="00D12634" w:rsidP="00D12634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“Even if the family ties provide a ‘but-for’ causation for harm to the applicant, the goals of recruitment and sustaining the gang’s power and control are the only central reasons for harm </w:t>
      </w:r>
      <w:r w:rsidR="00C05EAA">
        <w:rPr>
          <w:rFonts w:ascii="Times New Roman" w:hAnsi="Times New Roman" w:cs="Times New Roman"/>
          <w:bCs/>
          <w:sz w:val="24"/>
          <w:szCs w:val="24"/>
        </w:rPr>
        <w:t xml:space="preserve">[to the mother] in this case.” </w:t>
      </w:r>
      <w:r w:rsidR="00C05EAA">
        <w:rPr>
          <w:rFonts w:ascii="Times New Roman" w:hAnsi="Times New Roman" w:cs="Times New Roman"/>
          <w:bCs/>
          <w:sz w:val="24"/>
          <w:szCs w:val="24"/>
        </w:rPr>
        <w:tab/>
        <w:t>688</w:t>
      </w:r>
    </w:p>
    <w:p w14:paraId="54036699" w14:textId="09E32381" w:rsidR="00B93D40" w:rsidRPr="00073DD1" w:rsidRDefault="00B93D40" w:rsidP="00D12634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Also, the protected ground claimed is “immediate family members,” and the only person to suffer harm was a nephew</w:t>
      </w:r>
      <w:r w:rsidR="0068302E">
        <w:rPr>
          <w:rFonts w:ascii="Times New Roman" w:hAnsi="Times New Roman" w:cs="Times New Roman"/>
          <w:bCs/>
          <w:sz w:val="24"/>
          <w:szCs w:val="24"/>
        </w:rPr>
        <w:t>, who’s not an “immediate family member.” SO THEREFORE THERE’S NO DANGER FOR IMMEDIATE FAMILY MEMBERS.</w:t>
      </w:r>
      <w:r w:rsidR="00197CF9">
        <w:rPr>
          <w:rFonts w:ascii="Times New Roman" w:hAnsi="Times New Roman" w:cs="Times New Roman"/>
          <w:bCs/>
          <w:sz w:val="24"/>
          <w:szCs w:val="24"/>
        </w:rPr>
        <w:t xml:space="preserve"> The fact that the nephew was killed is just reflective of </w:t>
      </w:r>
      <w:r w:rsidR="00F33151">
        <w:rPr>
          <w:rFonts w:ascii="Times New Roman" w:hAnsi="Times New Roman" w:cs="Times New Roman"/>
          <w:bCs/>
          <w:sz w:val="24"/>
          <w:szCs w:val="24"/>
        </w:rPr>
        <w:t>general gang violence in Honduras.</w:t>
      </w:r>
      <w:r w:rsidR="00B2357C">
        <w:rPr>
          <w:rFonts w:ascii="Times New Roman" w:hAnsi="Times New Roman" w:cs="Times New Roman"/>
          <w:bCs/>
          <w:sz w:val="24"/>
          <w:szCs w:val="24"/>
        </w:rPr>
        <w:tab/>
        <w:t>689</w:t>
      </w:r>
    </w:p>
    <w:p w14:paraId="20453BCB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CC" w14:textId="514D75A9" w:rsidR="00077658" w:rsidRDefault="00766473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More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S-E-M-Z- </w:t>
      </w:r>
      <w:r w:rsidR="00077658" w:rsidRPr="00936658">
        <w:rPr>
          <w:rFonts w:ascii="Times New Roman" w:hAnsi="Times New Roman" w:cs="Times New Roman"/>
          <w:b/>
          <w:sz w:val="24"/>
          <w:szCs w:val="24"/>
        </w:rPr>
        <w:t>Commentary</w:t>
      </w:r>
      <w:r w:rsidR="00C847FD">
        <w:rPr>
          <w:rFonts w:ascii="Times New Roman" w:hAnsi="Times New Roman" w:cs="Times New Roman"/>
          <w:b/>
          <w:sz w:val="24"/>
          <w:szCs w:val="24"/>
        </w:rPr>
        <w:t xml:space="preserve"> on “society” issue</w:t>
      </w:r>
      <w:r w:rsidR="00077658" w:rsidRPr="00936658">
        <w:rPr>
          <w:rFonts w:ascii="Times New Roman" w:hAnsi="Times New Roman" w:cs="Times New Roman"/>
          <w:b/>
          <w:sz w:val="24"/>
          <w:szCs w:val="24"/>
        </w:rPr>
        <w:t>:</w:t>
      </w:r>
    </w:p>
    <w:p w14:paraId="4404EB32" w14:textId="3D1D94CB" w:rsidR="00C80BBF" w:rsidRDefault="00D906EB" w:rsidP="00C80BBF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According to this decision, c</w:t>
      </w:r>
      <w:r w:rsidR="00607087">
        <w:rPr>
          <w:rFonts w:ascii="Times New Roman" w:hAnsi="Times New Roman" w:cs="Times New Roman"/>
          <w:bCs/>
          <w:sz w:val="24"/>
          <w:szCs w:val="24"/>
        </w:rPr>
        <w:t xml:space="preserve">ircuit court </w:t>
      </w:r>
      <w:r>
        <w:rPr>
          <w:rFonts w:ascii="Times New Roman" w:hAnsi="Times New Roman" w:cs="Times New Roman"/>
          <w:bCs/>
          <w:sz w:val="24"/>
          <w:szCs w:val="24"/>
        </w:rPr>
        <w:t>opinions</w:t>
      </w:r>
      <w:r w:rsidR="00607087">
        <w:rPr>
          <w:rFonts w:ascii="Times New Roman" w:hAnsi="Times New Roman" w:cs="Times New Roman"/>
          <w:bCs/>
          <w:sz w:val="24"/>
          <w:szCs w:val="24"/>
        </w:rPr>
        <w:t xml:space="preserve"> refer to </w:t>
      </w:r>
      <w:r w:rsidR="00D05FE4">
        <w:rPr>
          <w:rFonts w:ascii="Times New Roman" w:hAnsi="Times New Roman" w:cs="Times New Roman"/>
          <w:bCs/>
          <w:sz w:val="24"/>
          <w:szCs w:val="24"/>
        </w:rPr>
        <w:t xml:space="preserve">“a nation’s society,” so that must mean they always and only consider the WHOLE country. </w:t>
      </w:r>
      <w:r w:rsidR="005D0418">
        <w:rPr>
          <w:rFonts w:ascii="Times New Roman" w:hAnsi="Times New Roman" w:cs="Times New Roman"/>
          <w:bCs/>
          <w:sz w:val="24"/>
          <w:szCs w:val="24"/>
        </w:rPr>
        <w:t>Examples on 685-86</w:t>
      </w:r>
    </w:p>
    <w:p w14:paraId="4B92109A" w14:textId="276B13B9" w:rsidR="00C80BBF" w:rsidRDefault="00C80BBF" w:rsidP="00C80BBF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“Mexican society” – “Salvadoran society” </w:t>
      </w:r>
      <w:r w:rsidR="005F6A48">
        <w:rPr>
          <w:rFonts w:ascii="Times New Roman" w:hAnsi="Times New Roman" w:cs="Times New Roman"/>
          <w:bCs/>
          <w:sz w:val="24"/>
          <w:szCs w:val="24"/>
        </w:rPr>
        <w:t>–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F6A48">
        <w:rPr>
          <w:rFonts w:ascii="Times New Roman" w:hAnsi="Times New Roman" w:cs="Times New Roman"/>
          <w:bCs/>
          <w:sz w:val="24"/>
          <w:szCs w:val="24"/>
        </w:rPr>
        <w:t>“Guatemalan society”</w:t>
      </w:r>
      <w:r w:rsidR="0011010A">
        <w:rPr>
          <w:rFonts w:ascii="Times New Roman" w:hAnsi="Times New Roman" w:cs="Times New Roman"/>
          <w:bCs/>
          <w:sz w:val="24"/>
          <w:szCs w:val="24"/>
        </w:rPr>
        <w:t xml:space="preserve"> – etc.</w:t>
      </w:r>
    </w:p>
    <w:p w14:paraId="41487A5F" w14:textId="26C2BC1E" w:rsidR="003F6140" w:rsidRDefault="003F6140" w:rsidP="009C0E64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“These cases include countries with large, diverse populations and geographic footprints, as well as smaller, less-populated countries. They do not indicate that a neighborhood can be a relevant society for measuring social distinction.”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7B2FFC">
        <w:rPr>
          <w:rFonts w:ascii="Times New Roman" w:hAnsi="Times New Roman" w:cs="Times New Roman"/>
          <w:bCs/>
          <w:sz w:val="24"/>
          <w:szCs w:val="24"/>
        </w:rPr>
        <w:t>686</w:t>
      </w:r>
    </w:p>
    <w:p w14:paraId="29E1ACE7" w14:textId="4DCFEF3C" w:rsidR="00D321B8" w:rsidRDefault="006C235C" w:rsidP="00D321B8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Countere</w:t>
      </w:r>
      <w:r w:rsidR="00D321B8">
        <w:rPr>
          <w:rFonts w:ascii="Times New Roman" w:hAnsi="Times New Roman" w:cs="Times New Roman"/>
          <w:bCs/>
          <w:sz w:val="24"/>
          <w:szCs w:val="24"/>
        </w:rPr>
        <w:t xml:space="preserve">xamples of </w:t>
      </w:r>
      <w:r w:rsidR="00D321B8">
        <w:rPr>
          <w:rFonts w:ascii="Times New Roman" w:hAnsi="Times New Roman" w:cs="Times New Roman"/>
          <w:bCs/>
          <w:i/>
          <w:iCs/>
          <w:sz w:val="24"/>
          <w:szCs w:val="24"/>
        </w:rPr>
        <w:t>Matter of A-M-E &amp; J-G-U-</w:t>
      </w:r>
      <w:r w:rsidR="00D321B8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D321B8">
        <w:rPr>
          <w:rFonts w:ascii="Times New Roman" w:hAnsi="Times New Roman" w:cs="Times New Roman"/>
          <w:bCs/>
          <w:i/>
          <w:iCs/>
          <w:sz w:val="24"/>
          <w:szCs w:val="24"/>
        </w:rPr>
        <w:t>Matter of Kasinga</w:t>
      </w:r>
      <w:r w:rsidR="00D321B8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D321B8">
        <w:rPr>
          <w:rFonts w:ascii="Times New Roman" w:hAnsi="Times New Roman" w:cs="Times New Roman"/>
          <w:bCs/>
          <w:i/>
          <w:iCs/>
          <w:sz w:val="24"/>
          <w:szCs w:val="24"/>
        </w:rPr>
        <w:t>Matter of M-E-V-G-</w:t>
      </w:r>
      <w:r>
        <w:rPr>
          <w:rFonts w:ascii="Times New Roman" w:hAnsi="Times New Roman" w:cs="Times New Roman"/>
          <w:bCs/>
          <w:sz w:val="24"/>
          <w:szCs w:val="24"/>
        </w:rPr>
        <w:t xml:space="preserve"> (see below for notes):</w:t>
      </w:r>
    </w:p>
    <w:p w14:paraId="575AF4F0" w14:textId="6B599D70" w:rsidR="006C235C" w:rsidRDefault="006C235C" w:rsidP="006C235C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“However, none of these cases </w:t>
      </w:r>
      <w:r>
        <w:rPr>
          <w:rFonts w:ascii="Times New Roman" w:hAnsi="Times New Roman" w:cs="Times New Roman"/>
          <w:b/>
          <w:sz w:val="24"/>
          <w:szCs w:val="24"/>
        </w:rPr>
        <w:t>holds that a neighborhood or other limited geographic location within a country constitutes a society for purposes of social distinction.</w:t>
      </w:r>
      <w:r>
        <w:rPr>
          <w:rFonts w:ascii="Times New Roman" w:hAnsi="Times New Roman" w:cs="Times New Roman"/>
          <w:bCs/>
          <w:sz w:val="24"/>
          <w:szCs w:val="24"/>
        </w:rPr>
        <w:t xml:space="preserve">” </w:t>
      </w:r>
      <w:r w:rsidR="00CA0F24">
        <w:rPr>
          <w:rFonts w:ascii="Times New Roman" w:hAnsi="Times New Roman" w:cs="Times New Roman"/>
          <w:bCs/>
          <w:sz w:val="24"/>
          <w:szCs w:val="24"/>
        </w:rPr>
        <w:t>686</w:t>
      </w:r>
      <w:r w:rsidR="00A73E7A">
        <w:rPr>
          <w:rFonts w:ascii="Times New Roman" w:hAnsi="Times New Roman" w:cs="Times New Roman"/>
          <w:bCs/>
          <w:sz w:val="24"/>
          <w:szCs w:val="24"/>
        </w:rPr>
        <w:t xml:space="preserve"> (see notes below)</w:t>
      </w:r>
    </w:p>
    <w:p w14:paraId="2897D3FC" w14:textId="534C9812" w:rsidR="0011010A" w:rsidRPr="003F6140" w:rsidRDefault="0011010A" w:rsidP="003F6140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14:paraId="09D26474" w14:textId="77777777" w:rsidR="00B2026B" w:rsidRDefault="00B2026B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1387D4D0" w14:textId="0CC4A997" w:rsidR="00B2026B" w:rsidRPr="0060116E" w:rsidRDefault="00B2026B" w:rsidP="00936658">
      <w:pPr>
        <w:spacing w:after="0"/>
        <w:rPr>
          <w:rFonts w:ascii="Times New Roman" w:hAnsi="Times New Roman" w:cs="Times New Roman"/>
          <w:bCs/>
          <w:color w:val="EE0000"/>
          <w:sz w:val="24"/>
          <w:szCs w:val="24"/>
        </w:rPr>
      </w:pPr>
      <w:r w:rsidRPr="0060116E">
        <w:rPr>
          <w:rFonts w:ascii="Times New Roman" w:hAnsi="Times New Roman" w:cs="Times New Roman"/>
          <w:b/>
          <w:color w:val="EE0000"/>
          <w:sz w:val="24"/>
          <w:szCs w:val="24"/>
        </w:rPr>
        <w:t>Pushing Back</w:t>
      </w:r>
      <w:r w:rsidR="00781C2D" w:rsidRPr="0060116E">
        <w:rPr>
          <w:rFonts w:ascii="Times New Roman" w:hAnsi="Times New Roman" w:cs="Times New Roman"/>
          <w:b/>
          <w:color w:val="EE0000"/>
          <w:sz w:val="24"/>
          <w:szCs w:val="24"/>
        </w:rPr>
        <w:t xml:space="preserve"> re. </w:t>
      </w:r>
      <w:r w:rsidR="000C1A0F" w:rsidRPr="0060116E">
        <w:rPr>
          <w:rFonts w:ascii="Times New Roman" w:hAnsi="Times New Roman" w:cs="Times New Roman"/>
          <w:b/>
          <w:color w:val="EE0000"/>
          <w:sz w:val="24"/>
          <w:szCs w:val="24"/>
        </w:rPr>
        <w:t>Social Distinction</w:t>
      </w:r>
      <w:r w:rsidRPr="0060116E">
        <w:rPr>
          <w:rFonts w:ascii="Times New Roman" w:hAnsi="Times New Roman" w:cs="Times New Roman"/>
          <w:b/>
          <w:color w:val="EE0000"/>
          <w:sz w:val="24"/>
          <w:szCs w:val="24"/>
        </w:rPr>
        <w:t>:</w:t>
      </w:r>
    </w:p>
    <w:p w14:paraId="27D3D013" w14:textId="76AEB2CE" w:rsidR="00D6778E" w:rsidRPr="00B51DC5" w:rsidRDefault="00D6778E" w:rsidP="00B51DC5">
      <w:pPr>
        <w:spacing w:after="0"/>
        <w:rPr>
          <w:rFonts w:ascii="Times New Roman" w:hAnsi="Times New Roman" w:cs="Times New Roman"/>
          <w:bCs/>
          <w:color w:val="EE0000"/>
          <w:sz w:val="24"/>
          <w:szCs w:val="24"/>
        </w:rPr>
      </w:pPr>
      <w:r w:rsidRPr="00B51DC5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BIA is defining “society” too narrowly (ironic, since they’re defining it as the whole country!). </w:t>
      </w:r>
      <w:r w:rsidR="00B51DC5" w:rsidRPr="00B51DC5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See below for other ways of framing this idea of “social distinction </w:t>
      </w:r>
      <w:r w:rsidR="00B51DC5" w:rsidRPr="00F11E60">
        <w:rPr>
          <w:rFonts w:ascii="Times New Roman" w:hAnsi="Times New Roman" w:cs="Times New Roman"/>
          <w:b/>
          <w:i/>
          <w:iCs/>
          <w:color w:val="EE0000"/>
          <w:sz w:val="24"/>
          <w:szCs w:val="24"/>
        </w:rPr>
        <w:t>within</w:t>
      </w:r>
      <w:r w:rsidR="00B51DC5" w:rsidRPr="00B51DC5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 the society in question”:</w:t>
      </w:r>
    </w:p>
    <w:p w14:paraId="731C5CD8" w14:textId="77777777" w:rsidR="00B51DC5" w:rsidRDefault="00B51DC5" w:rsidP="00B51DC5">
      <w:pPr>
        <w:pStyle w:val="ListParagraph"/>
        <w:spacing w:after="0"/>
        <w:rPr>
          <w:rFonts w:ascii="Times New Roman" w:hAnsi="Times New Roman" w:cs="Times New Roman"/>
          <w:bCs/>
          <w:color w:val="EE0000"/>
          <w:sz w:val="24"/>
          <w:szCs w:val="24"/>
        </w:rPr>
      </w:pPr>
    </w:p>
    <w:p w14:paraId="78E17E39" w14:textId="6408272D" w:rsidR="00BF3B2B" w:rsidRPr="0060116E" w:rsidRDefault="000C1A0F" w:rsidP="00BF3B2B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color w:val="EE0000"/>
          <w:sz w:val="24"/>
          <w:szCs w:val="24"/>
        </w:rPr>
      </w:pPr>
      <w:r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>Find examples of n</w:t>
      </w:r>
      <w:r w:rsidR="00BF3B2B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>ations where control over certain regions is negligible or nonexistent</w:t>
      </w:r>
      <w:r w:rsidR="009E056B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>.</w:t>
      </w:r>
    </w:p>
    <w:p w14:paraId="57FE9F01" w14:textId="77777777" w:rsidR="00562E05" w:rsidRPr="0060116E" w:rsidRDefault="00562E05" w:rsidP="00562E05">
      <w:pPr>
        <w:spacing w:after="0"/>
        <w:rPr>
          <w:rFonts w:ascii="Times New Roman" w:hAnsi="Times New Roman" w:cs="Times New Roman"/>
          <w:bCs/>
          <w:color w:val="EE0000"/>
          <w:sz w:val="24"/>
          <w:szCs w:val="24"/>
        </w:rPr>
      </w:pPr>
    </w:p>
    <w:p w14:paraId="47A04085" w14:textId="06577C42" w:rsidR="00562E05" w:rsidRPr="0060116E" w:rsidRDefault="00562E05" w:rsidP="00562E05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color w:val="EE0000"/>
          <w:sz w:val="24"/>
          <w:szCs w:val="24"/>
        </w:rPr>
      </w:pPr>
      <w:r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>Similarly, a country may contain many diverse and essentially societally separate regions.</w:t>
      </w:r>
    </w:p>
    <w:p w14:paraId="1CB5B8CA" w14:textId="77777777" w:rsidR="009E056B" w:rsidRPr="0060116E" w:rsidRDefault="009E056B" w:rsidP="009E056B">
      <w:pPr>
        <w:pStyle w:val="ListParagraph"/>
        <w:spacing w:after="0"/>
        <w:rPr>
          <w:rFonts w:ascii="Times New Roman" w:hAnsi="Times New Roman" w:cs="Times New Roman"/>
          <w:bCs/>
          <w:color w:val="EE0000"/>
          <w:sz w:val="24"/>
          <w:szCs w:val="24"/>
        </w:rPr>
      </w:pPr>
    </w:p>
    <w:p w14:paraId="2DF5C035" w14:textId="61CBD826" w:rsidR="00BF3B2B" w:rsidRPr="0060116E" w:rsidRDefault="004B1D1E" w:rsidP="00BF3B2B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color w:val="EE0000"/>
          <w:sz w:val="24"/>
          <w:szCs w:val="24"/>
        </w:rPr>
      </w:pPr>
      <w:r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National registry for families – </w:t>
      </w:r>
      <w:r w:rsidR="001962A3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>since “social distinction”</w:t>
      </w:r>
      <w:r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 doesn’t need to be “ocularly visible,” after all</w:t>
      </w:r>
      <w:r w:rsidR="00E27014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, might it not be enough to have the family </w:t>
      </w:r>
      <w:r w:rsidR="008E76FA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officially </w:t>
      </w:r>
      <w:r w:rsidR="00E27014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>registered with the government?</w:t>
      </w:r>
    </w:p>
    <w:p w14:paraId="478AF507" w14:textId="17D6E7F6" w:rsidR="007533CD" w:rsidRPr="0060116E" w:rsidRDefault="00AA1A8A" w:rsidP="007533CD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bCs/>
          <w:color w:val="EE0000"/>
          <w:sz w:val="24"/>
          <w:szCs w:val="24"/>
        </w:rPr>
      </w:pPr>
      <w:r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Also: is the </w:t>
      </w:r>
      <w:r w:rsidR="00677EC1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“perception” of a </w:t>
      </w:r>
      <w:r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given </w:t>
      </w:r>
      <w:r w:rsidR="00677EC1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>“</w:t>
      </w:r>
      <w:r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society” </w:t>
      </w:r>
      <w:r w:rsidR="00677EC1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referring to </w:t>
      </w:r>
      <w:r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the government </w:t>
      </w:r>
      <w:r w:rsidR="00677EC1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as record-keeper, </w:t>
      </w:r>
      <w:r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>or government actors</w:t>
      </w:r>
      <w:r w:rsidR="00677EC1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 in their day-to-day jobs</w:t>
      </w:r>
      <w:r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? Or is it the average man on the street? </w:t>
      </w:r>
    </w:p>
    <w:p w14:paraId="060889E0" w14:textId="77777777" w:rsidR="009E056B" w:rsidRPr="0060116E" w:rsidRDefault="009E056B" w:rsidP="00F11E60">
      <w:pPr>
        <w:pStyle w:val="ListParagraph"/>
        <w:spacing w:after="0"/>
        <w:ind w:left="1440"/>
        <w:rPr>
          <w:rFonts w:ascii="Times New Roman" w:hAnsi="Times New Roman" w:cs="Times New Roman"/>
          <w:bCs/>
          <w:color w:val="EE0000"/>
          <w:sz w:val="24"/>
          <w:szCs w:val="24"/>
        </w:rPr>
      </w:pPr>
    </w:p>
    <w:p w14:paraId="145B7689" w14:textId="49C6482A" w:rsidR="007533CD" w:rsidRPr="0060116E" w:rsidRDefault="007533CD" w:rsidP="007533CD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color w:val="EE0000"/>
          <w:sz w:val="24"/>
          <w:szCs w:val="24"/>
        </w:rPr>
      </w:pPr>
      <w:r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>What are the markers that a given society recognizes a group? – gossip</w:t>
      </w:r>
      <w:r w:rsidR="00241EFC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 (i.e, everyone just </w:t>
      </w:r>
      <w:r w:rsidR="00241EFC" w:rsidRPr="0060116E">
        <w:rPr>
          <w:rFonts w:ascii="Times New Roman" w:hAnsi="Times New Roman" w:cs="Times New Roman"/>
          <w:bCs/>
          <w:i/>
          <w:iCs/>
          <w:color w:val="EE0000"/>
          <w:sz w:val="24"/>
          <w:szCs w:val="24"/>
        </w:rPr>
        <w:t>knows</w:t>
      </w:r>
      <w:r w:rsidR="00241EFC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 about this)</w:t>
      </w:r>
      <w:r w:rsidR="00DF1D1F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>?</w:t>
      </w:r>
      <w:r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 </w:t>
      </w:r>
      <w:r w:rsidR="00F11E60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TikTok? </w:t>
      </w:r>
      <w:r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>National laws</w:t>
      </w:r>
      <w:r w:rsidR="00572B78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 or regulations referencing the group</w:t>
      </w:r>
      <w:r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? Commercials? Appearance on TV sitcoms or in movies? </w:t>
      </w:r>
      <w:r w:rsidR="00407E4C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The subject matter of songs? </w:t>
      </w:r>
      <w:r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Taught in school? </w:t>
      </w:r>
      <w:r w:rsidR="00A5716D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Historically significant? </w:t>
      </w:r>
      <w:r w:rsidR="000B39CE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Organized groups registered nationally or locally? Groups receiving national or local benefits or aid? </w:t>
      </w:r>
      <w:r w:rsidR="00EB4D80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Named groups on a government’s hit list? </w:t>
      </w:r>
      <w:r w:rsidR="00407E4C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>Preached about by church leaders</w:t>
      </w:r>
      <w:r w:rsidR="004779BD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>?</w:t>
      </w:r>
      <w:r w:rsidR="00F12CC9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 If </w:t>
      </w:r>
      <w:r w:rsidR="00000F80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people living in </w:t>
      </w:r>
      <w:r w:rsidR="00F12CC9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parts of </w:t>
      </w:r>
      <w:r w:rsidR="00F12CC9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lastRenderedPageBreak/>
        <w:t>the country in question don’t</w:t>
      </w:r>
      <w:r w:rsidR="00000F80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 yet</w:t>
      </w:r>
      <w:r w:rsidR="00F12CC9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 realize that this group exists, could they reasonably be taught about its existence?</w:t>
      </w:r>
    </w:p>
    <w:p w14:paraId="7D4524A5" w14:textId="77777777" w:rsidR="009E056B" w:rsidRPr="0060116E" w:rsidRDefault="009E056B" w:rsidP="009E056B">
      <w:pPr>
        <w:pStyle w:val="ListParagraph"/>
        <w:spacing w:after="0"/>
        <w:rPr>
          <w:rFonts w:ascii="Times New Roman" w:hAnsi="Times New Roman" w:cs="Times New Roman"/>
          <w:bCs/>
          <w:color w:val="EE0000"/>
          <w:sz w:val="24"/>
          <w:szCs w:val="24"/>
        </w:rPr>
      </w:pPr>
    </w:p>
    <w:p w14:paraId="6DE44C42" w14:textId="4EE8205E" w:rsidR="004B1D1E" w:rsidRPr="0060116E" w:rsidRDefault="00BD673D" w:rsidP="00BF3B2B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color w:val="EE0000"/>
          <w:sz w:val="24"/>
          <w:szCs w:val="24"/>
        </w:rPr>
      </w:pPr>
      <w:r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People travel: who’s to say that a local altercation </w:t>
      </w:r>
      <w:r w:rsidR="00786E75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>would be</w:t>
      </w:r>
      <w:r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 </w:t>
      </w:r>
      <w:r w:rsidR="00786E75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>merely</w:t>
      </w:r>
      <w:r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 confined to </w:t>
      </w:r>
      <w:r w:rsidR="00786E75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>one</w:t>
      </w:r>
      <w:r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 locale?</w:t>
      </w:r>
    </w:p>
    <w:p w14:paraId="2B547C55" w14:textId="0BE4E792" w:rsidR="001A47D3" w:rsidRPr="0060116E" w:rsidRDefault="001A47D3" w:rsidP="001A47D3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bCs/>
          <w:color w:val="EE0000"/>
          <w:sz w:val="24"/>
          <w:szCs w:val="24"/>
        </w:rPr>
      </w:pPr>
      <w:r w:rsidRPr="0050019F">
        <w:rPr>
          <w:rFonts w:ascii="Times New Roman" w:hAnsi="Times New Roman" w:cs="Times New Roman"/>
          <w:b/>
          <w:color w:val="EE0000"/>
          <w:sz w:val="24"/>
          <w:szCs w:val="24"/>
        </w:rPr>
        <w:t xml:space="preserve">This also means that </w:t>
      </w:r>
      <w:r w:rsidR="00C15BC9" w:rsidRPr="0050019F">
        <w:rPr>
          <w:rFonts w:ascii="Times New Roman" w:hAnsi="Times New Roman" w:cs="Times New Roman"/>
          <w:b/>
          <w:color w:val="EE0000"/>
          <w:sz w:val="24"/>
          <w:szCs w:val="24"/>
        </w:rPr>
        <w:t xml:space="preserve">you want to show why </w:t>
      </w:r>
      <w:r w:rsidR="0050019F">
        <w:rPr>
          <w:rFonts w:ascii="Times New Roman" w:hAnsi="Times New Roman" w:cs="Times New Roman"/>
          <w:b/>
          <w:color w:val="EE0000"/>
          <w:sz w:val="24"/>
          <w:szCs w:val="24"/>
        </w:rPr>
        <w:t xml:space="preserve">safe interior </w:t>
      </w:r>
      <w:r w:rsidR="00C15BC9" w:rsidRPr="0050019F">
        <w:rPr>
          <w:rFonts w:ascii="Times New Roman" w:hAnsi="Times New Roman" w:cs="Times New Roman"/>
          <w:b/>
          <w:color w:val="EE0000"/>
          <w:sz w:val="24"/>
          <w:szCs w:val="24"/>
        </w:rPr>
        <w:t>relocation is impossible.</w:t>
      </w:r>
      <w:r w:rsidR="00C15BC9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 IOW, even if the “society in question” is currently just the local community in your case, </w:t>
      </w:r>
      <w:r w:rsidR="00831374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>why would your applicant be equally in danger in another location within their country?</w:t>
      </w:r>
      <w:r w:rsidR="00F12CC9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 </w:t>
      </w:r>
    </w:p>
    <w:p w14:paraId="5379DC30" w14:textId="77777777" w:rsidR="009E056B" w:rsidRPr="0060116E" w:rsidRDefault="009E056B" w:rsidP="009E056B">
      <w:pPr>
        <w:pStyle w:val="ListParagraph"/>
        <w:spacing w:after="0"/>
        <w:ind w:left="1440"/>
        <w:rPr>
          <w:rFonts w:ascii="Times New Roman" w:hAnsi="Times New Roman" w:cs="Times New Roman"/>
          <w:bCs/>
          <w:color w:val="EE0000"/>
          <w:sz w:val="24"/>
          <w:szCs w:val="24"/>
        </w:rPr>
      </w:pPr>
    </w:p>
    <w:p w14:paraId="3F4E4A23" w14:textId="57F34AD3" w:rsidR="000D578A" w:rsidRPr="0060116E" w:rsidRDefault="00426F8D" w:rsidP="00BF3B2B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color w:val="EE0000"/>
          <w:sz w:val="24"/>
          <w:szCs w:val="24"/>
        </w:rPr>
      </w:pPr>
      <w:r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>Language usage: e.g., “American society” encompasses many smaller societies. Why wouldn’t this be true in other countries?</w:t>
      </w:r>
    </w:p>
    <w:p w14:paraId="324CFE3B" w14:textId="0BA0F54F" w:rsidR="00562E05" w:rsidRPr="0060116E" w:rsidRDefault="00562E05" w:rsidP="00562E05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bCs/>
          <w:color w:val="EE0000"/>
          <w:sz w:val="24"/>
          <w:szCs w:val="24"/>
        </w:rPr>
      </w:pPr>
      <w:r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>Also,</w:t>
      </w:r>
      <w:r w:rsidR="00AC26EB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 </w:t>
      </w:r>
      <w:r w:rsidR="00AC26EB" w:rsidRPr="0060116E">
        <w:rPr>
          <w:rFonts w:ascii="Times New Roman" w:hAnsi="Times New Roman" w:cs="Times New Roman"/>
          <w:bCs/>
          <w:i/>
          <w:iCs/>
          <w:color w:val="EE0000"/>
          <w:sz w:val="24"/>
          <w:szCs w:val="24"/>
        </w:rPr>
        <w:t>W-G-R-</w:t>
      </w:r>
      <w:r w:rsidR="00AC26EB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>‘s standard of</w:t>
      </w:r>
      <w:r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 “socially distinct</w:t>
      </w:r>
      <w:r w:rsidR="00AC26EB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 within the society in question” is not the same as saying “</w:t>
      </w:r>
      <w:r w:rsidR="00AC26EB" w:rsidRPr="00403DD1">
        <w:rPr>
          <w:rFonts w:ascii="Times New Roman" w:hAnsi="Times New Roman" w:cs="Times New Roman"/>
          <w:b/>
          <w:i/>
          <w:iCs/>
          <w:color w:val="EE0000"/>
          <w:sz w:val="24"/>
          <w:szCs w:val="24"/>
        </w:rPr>
        <w:t>societally</w:t>
      </w:r>
      <w:r w:rsidR="00AC26EB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 distinct.” </w:t>
      </w:r>
      <w:r w:rsidR="00462C7F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A pocket of the society </w:t>
      </w:r>
      <w:r w:rsidR="00403DD1">
        <w:rPr>
          <w:rFonts w:ascii="Times New Roman" w:hAnsi="Times New Roman" w:cs="Times New Roman"/>
          <w:bCs/>
          <w:color w:val="EE0000"/>
          <w:sz w:val="24"/>
          <w:szCs w:val="24"/>
        </w:rPr>
        <w:t>is certainly</w:t>
      </w:r>
      <w:r w:rsidR="00462C7F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 “</w:t>
      </w:r>
      <w:r w:rsidR="00462C7F" w:rsidRPr="00403DD1">
        <w:rPr>
          <w:rFonts w:ascii="Times New Roman" w:hAnsi="Times New Roman" w:cs="Times New Roman"/>
          <w:b/>
          <w:i/>
          <w:iCs/>
          <w:color w:val="EE0000"/>
          <w:sz w:val="24"/>
          <w:szCs w:val="24"/>
        </w:rPr>
        <w:t>within</w:t>
      </w:r>
      <w:r w:rsidR="00462C7F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 the society in question.” </w:t>
      </w:r>
      <w:r w:rsidR="00462C7F" w:rsidRPr="00607A91">
        <w:rPr>
          <w:rFonts w:ascii="Times New Roman" w:hAnsi="Times New Roman" w:cs="Times New Roman"/>
          <w:b/>
          <w:i/>
          <w:iCs/>
          <w:color w:val="EE0000"/>
          <w:sz w:val="24"/>
          <w:szCs w:val="24"/>
        </w:rPr>
        <w:t>Social</w:t>
      </w:r>
      <w:r w:rsidR="00462C7F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 distinction involves other </w:t>
      </w:r>
      <w:r w:rsidR="00607A91">
        <w:rPr>
          <w:rFonts w:ascii="Times New Roman" w:hAnsi="Times New Roman" w:cs="Times New Roman"/>
          <w:bCs/>
          <w:color w:val="EE0000"/>
          <w:sz w:val="24"/>
          <w:szCs w:val="24"/>
        </w:rPr>
        <w:t>humans</w:t>
      </w:r>
      <w:r w:rsidR="00462C7F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 perceiving the distinction. </w:t>
      </w:r>
      <w:r w:rsidR="00462C7F" w:rsidRPr="00607A91">
        <w:rPr>
          <w:rFonts w:ascii="Times New Roman" w:hAnsi="Times New Roman" w:cs="Times New Roman"/>
          <w:b/>
          <w:i/>
          <w:iCs/>
          <w:color w:val="EE0000"/>
          <w:sz w:val="24"/>
          <w:szCs w:val="24"/>
        </w:rPr>
        <w:t>Societal</w:t>
      </w:r>
      <w:r w:rsidR="00462C7F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 distinction </w:t>
      </w:r>
      <w:r w:rsidR="00E63AF8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requires the whole society to recognize the group. </w:t>
      </w:r>
      <w:r w:rsidR="00607A91">
        <w:rPr>
          <w:rFonts w:ascii="Times New Roman" w:hAnsi="Times New Roman" w:cs="Times New Roman"/>
          <w:bCs/>
          <w:i/>
          <w:iCs/>
          <w:color w:val="EE0000"/>
          <w:sz w:val="24"/>
          <w:szCs w:val="24"/>
        </w:rPr>
        <w:t xml:space="preserve">W-G-R- </w:t>
      </w:r>
      <w:r w:rsidR="00607A91">
        <w:rPr>
          <w:rFonts w:ascii="Times New Roman" w:hAnsi="Times New Roman" w:cs="Times New Roman"/>
          <w:bCs/>
          <w:color w:val="EE0000"/>
          <w:sz w:val="24"/>
          <w:szCs w:val="24"/>
        </w:rPr>
        <w:t>contemplates “</w:t>
      </w:r>
      <w:r w:rsidR="00607A91" w:rsidRPr="00607A91">
        <w:rPr>
          <w:rFonts w:ascii="Times New Roman" w:hAnsi="Times New Roman" w:cs="Times New Roman"/>
          <w:b/>
          <w:i/>
          <w:iCs/>
          <w:color w:val="EE0000"/>
          <w:sz w:val="24"/>
          <w:szCs w:val="24"/>
        </w:rPr>
        <w:t>social</w:t>
      </w:r>
      <w:r w:rsidR="00607A91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 distinction.” </w:t>
      </w:r>
      <w:r w:rsidR="00E63AF8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>(I am spitballing, so no references.)</w:t>
      </w:r>
    </w:p>
    <w:p w14:paraId="5F64488E" w14:textId="77777777" w:rsidR="00562E05" w:rsidRPr="0060116E" w:rsidRDefault="00562E05" w:rsidP="00562E05">
      <w:pPr>
        <w:pStyle w:val="ListParagraph"/>
        <w:spacing w:after="0"/>
        <w:rPr>
          <w:rFonts w:ascii="Times New Roman" w:hAnsi="Times New Roman" w:cs="Times New Roman"/>
          <w:bCs/>
          <w:color w:val="EE0000"/>
          <w:sz w:val="24"/>
          <w:szCs w:val="24"/>
        </w:rPr>
      </w:pPr>
    </w:p>
    <w:p w14:paraId="05A3323B" w14:textId="30BBD6A8" w:rsidR="0001686B" w:rsidRPr="0060116E" w:rsidRDefault="0001686B" w:rsidP="00BF3B2B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color w:val="EE0000"/>
          <w:sz w:val="24"/>
          <w:szCs w:val="24"/>
        </w:rPr>
      </w:pPr>
      <w:r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>Counterexamples</w:t>
      </w:r>
      <w:r w:rsidR="0013230D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 (where the contemplated </w:t>
      </w:r>
      <w:r w:rsidR="000D1F6D">
        <w:rPr>
          <w:rFonts w:ascii="Times New Roman" w:hAnsi="Times New Roman" w:cs="Times New Roman"/>
          <w:bCs/>
          <w:color w:val="EE0000"/>
          <w:sz w:val="24"/>
          <w:szCs w:val="24"/>
        </w:rPr>
        <w:t>“</w:t>
      </w:r>
      <w:r w:rsidR="0013230D">
        <w:rPr>
          <w:rFonts w:ascii="Times New Roman" w:hAnsi="Times New Roman" w:cs="Times New Roman"/>
          <w:bCs/>
          <w:color w:val="EE0000"/>
          <w:sz w:val="24"/>
          <w:szCs w:val="24"/>
        </w:rPr>
        <w:t>society</w:t>
      </w:r>
      <w:r w:rsidR="000D1F6D">
        <w:rPr>
          <w:rFonts w:ascii="Times New Roman" w:hAnsi="Times New Roman" w:cs="Times New Roman"/>
          <w:bCs/>
          <w:color w:val="EE0000"/>
          <w:sz w:val="24"/>
          <w:szCs w:val="24"/>
        </w:rPr>
        <w:t>”</w:t>
      </w:r>
      <w:r w:rsidR="0013230D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 is smaller than a nation)</w:t>
      </w:r>
      <w:r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 (given 686):</w:t>
      </w:r>
    </w:p>
    <w:p w14:paraId="7698DB9D" w14:textId="2D4C83DF" w:rsidR="00426F8D" w:rsidRPr="0060116E" w:rsidRDefault="007B2FFC" w:rsidP="0001686B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bCs/>
          <w:color w:val="EE0000"/>
          <w:sz w:val="24"/>
          <w:szCs w:val="24"/>
        </w:rPr>
      </w:pPr>
      <w:r w:rsidRPr="0060116E">
        <w:rPr>
          <w:rFonts w:ascii="Times New Roman" w:hAnsi="Times New Roman" w:cs="Times New Roman"/>
          <w:bCs/>
          <w:i/>
          <w:iCs/>
          <w:color w:val="EE0000"/>
          <w:sz w:val="24"/>
          <w:szCs w:val="24"/>
        </w:rPr>
        <w:t>Matter of A-M-E &amp; J-G-U</w:t>
      </w:r>
      <w:r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, 24 I&amp;N Dec. </w:t>
      </w:r>
      <w:r w:rsidR="0083662D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at 74: “the shared characteristic of the group should generally be recognizable by others </w:t>
      </w:r>
      <w:r w:rsidR="0083662D" w:rsidRPr="0060116E">
        <w:rPr>
          <w:rFonts w:ascii="Times New Roman" w:hAnsi="Times New Roman" w:cs="Times New Roman"/>
          <w:b/>
          <w:color w:val="EE0000"/>
          <w:sz w:val="24"/>
          <w:szCs w:val="24"/>
        </w:rPr>
        <w:t>in the community . . .</w:t>
      </w:r>
      <w:r w:rsidR="0083662D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>”</w:t>
      </w:r>
    </w:p>
    <w:p w14:paraId="000EA2CB" w14:textId="2181FC79" w:rsidR="001E3B4E" w:rsidRPr="0060116E" w:rsidRDefault="001E3B4E" w:rsidP="0001686B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bCs/>
          <w:color w:val="EE0000"/>
          <w:sz w:val="24"/>
          <w:szCs w:val="24"/>
        </w:rPr>
      </w:pPr>
      <w:r w:rsidRPr="0060116E">
        <w:rPr>
          <w:rFonts w:ascii="Times New Roman" w:hAnsi="Times New Roman" w:cs="Times New Roman"/>
          <w:bCs/>
          <w:i/>
          <w:iCs/>
          <w:color w:val="EE0000"/>
          <w:sz w:val="24"/>
          <w:szCs w:val="24"/>
        </w:rPr>
        <w:t>Matter of Kasinga</w:t>
      </w:r>
      <w:r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, 21 I&amp;N Dec. 357, 366 (BIA 1996): </w:t>
      </w:r>
      <w:r w:rsidR="009C12CD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>persecution limited to a remote region of the country</w:t>
      </w:r>
    </w:p>
    <w:p w14:paraId="56510B3B" w14:textId="4974E7B4" w:rsidR="009C12CD" w:rsidRPr="0060116E" w:rsidRDefault="009C12CD" w:rsidP="0001686B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bCs/>
          <w:color w:val="EE0000"/>
          <w:sz w:val="24"/>
          <w:szCs w:val="24"/>
        </w:rPr>
      </w:pPr>
      <w:r w:rsidRPr="0060116E">
        <w:rPr>
          <w:rFonts w:ascii="Times New Roman" w:hAnsi="Times New Roman" w:cs="Times New Roman"/>
          <w:bCs/>
          <w:i/>
          <w:iCs/>
          <w:color w:val="EE0000"/>
          <w:sz w:val="24"/>
          <w:szCs w:val="24"/>
        </w:rPr>
        <w:t>Matter of M-E-V-G-</w:t>
      </w:r>
      <w:r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, 26 I&amp;N Dec. at 243: referencing </w:t>
      </w:r>
      <w:r w:rsidRPr="0060116E">
        <w:rPr>
          <w:rFonts w:ascii="Times New Roman" w:hAnsi="Times New Roman" w:cs="Times New Roman"/>
          <w:bCs/>
          <w:i/>
          <w:iCs/>
          <w:color w:val="EE0000"/>
          <w:sz w:val="24"/>
          <w:szCs w:val="24"/>
        </w:rPr>
        <w:t>Matter of Kasinga</w:t>
      </w:r>
      <w:r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 for the principle that </w:t>
      </w:r>
      <w:r w:rsidR="00222C74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>such a situation “may invite an inquiry into a more limited subset of the country’s society”</w:t>
      </w:r>
    </w:p>
    <w:p w14:paraId="10D7AA3B" w14:textId="611C8045" w:rsidR="00CA0F24" w:rsidRPr="0060116E" w:rsidRDefault="000D1F6D" w:rsidP="0001686B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bCs/>
          <w:color w:val="EE0000"/>
          <w:sz w:val="24"/>
          <w:szCs w:val="24"/>
        </w:rPr>
      </w:pPr>
      <w:r>
        <w:rPr>
          <w:rFonts w:ascii="Times New Roman" w:hAnsi="Times New Roman" w:cs="Times New Roman"/>
          <w:bCs/>
          <w:color w:val="EE0000"/>
          <w:sz w:val="24"/>
          <w:szCs w:val="24"/>
        </w:rPr>
        <w:t>Arguing</w:t>
      </w:r>
      <w:r w:rsidR="00CA0F24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 </w:t>
      </w:r>
      <w:r w:rsidR="0001686B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(686) </w:t>
      </w:r>
      <w:r w:rsidR="00CA0F24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that the above cases didn’t HOLD that </w:t>
      </w:r>
      <w:r w:rsidR="00971ED9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>“</w:t>
      </w:r>
      <w:r w:rsidR="00CA0F24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>a neighborhood = a society for purposes of social distinction</w:t>
      </w:r>
      <w:r w:rsidR="00971ED9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>”</w:t>
      </w:r>
      <w:r w:rsidR="00CA0F24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 is</w:t>
      </w:r>
      <w:r w:rsidR="0001686B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 irrelevant: </w:t>
      </w:r>
      <w:r w:rsidR="00971ED9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>those cases</w:t>
      </w:r>
      <w:r w:rsidR="0001686B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 weren’t </w:t>
      </w:r>
      <w:r w:rsidR="00971ED9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>asking about</w:t>
      </w:r>
      <w:r w:rsidR="0001686B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 the scope of the society</w:t>
      </w:r>
      <w:r w:rsidR="001962A3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>. They were just commenting reasonably on where the social distinction might exist, geographically speaking.</w:t>
      </w:r>
    </w:p>
    <w:p w14:paraId="33DD103D" w14:textId="77777777" w:rsidR="00BB4E4A" w:rsidRPr="0060116E" w:rsidRDefault="00BB4E4A" w:rsidP="00BB4E4A">
      <w:pPr>
        <w:pStyle w:val="ListParagraph"/>
        <w:spacing w:after="0"/>
        <w:ind w:left="1440"/>
        <w:rPr>
          <w:rFonts w:ascii="Times New Roman" w:hAnsi="Times New Roman" w:cs="Times New Roman"/>
          <w:bCs/>
          <w:color w:val="EE0000"/>
          <w:sz w:val="24"/>
          <w:szCs w:val="24"/>
        </w:rPr>
      </w:pPr>
    </w:p>
    <w:p w14:paraId="103FC8C8" w14:textId="4C1585CE" w:rsidR="00BB4E4A" w:rsidRPr="0060116E" w:rsidRDefault="00544A95" w:rsidP="00544A95">
      <w:pPr>
        <w:spacing w:after="0"/>
        <w:rPr>
          <w:rFonts w:ascii="Times New Roman" w:hAnsi="Times New Roman" w:cs="Times New Roman"/>
          <w:bCs/>
          <w:color w:val="EE0000"/>
          <w:sz w:val="24"/>
          <w:szCs w:val="24"/>
        </w:rPr>
      </w:pPr>
      <w:r w:rsidRPr="0060116E">
        <w:rPr>
          <w:rFonts w:ascii="Times New Roman" w:hAnsi="Times New Roman" w:cs="Times New Roman"/>
          <w:b/>
          <w:color w:val="EE0000"/>
          <w:sz w:val="24"/>
          <w:szCs w:val="24"/>
        </w:rPr>
        <w:t>Pushing back re.</w:t>
      </w:r>
      <w:r w:rsidR="00D84961" w:rsidRPr="0060116E">
        <w:rPr>
          <w:rFonts w:ascii="Times New Roman" w:hAnsi="Times New Roman" w:cs="Times New Roman"/>
          <w:b/>
          <w:color w:val="EE0000"/>
          <w:sz w:val="24"/>
          <w:szCs w:val="24"/>
        </w:rPr>
        <w:t xml:space="preserve"> Nexus</w:t>
      </w:r>
      <w:r w:rsidRPr="0060116E">
        <w:rPr>
          <w:rFonts w:ascii="Times New Roman" w:hAnsi="Times New Roman" w:cs="Times New Roman"/>
          <w:b/>
          <w:color w:val="EE0000"/>
          <w:sz w:val="24"/>
          <w:szCs w:val="24"/>
        </w:rPr>
        <w:t xml:space="preserve"> to PSG of family</w:t>
      </w:r>
      <w:r w:rsidR="00D84961" w:rsidRPr="0060116E">
        <w:rPr>
          <w:rFonts w:ascii="Times New Roman" w:hAnsi="Times New Roman" w:cs="Times New Roman"/>
          <w:b/>
          <w:color w:val="EE0000"/>
          <w:sz w:val="24"/>
          <w:szCs w:val="24"/>
        </w:rPr>
        <w:t xml:space="preserve">: </w:t>
      </w:r>
    </w:p>
    <w:p w14:paraId="7AF0CE6D" w14:textId="42C4BAD1" w:rsidR="00D84961" w:rsidRPr="0060116E" w:rsidRDefault="00D84961" w:rsidP="00D84961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color w:val="EE0000"/>
          <w:sz w:val="24"/>
          <w:szCs w:val="24"/>
        </w:rPr>
      </w:pPr>
      <w:r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Fourth Circuit still recognizes family-based PSG as sufficient for nexus under </w:t>
      </w:r>
      <w:r w:rsidRPr="0060116E">
        <w:rPr>
          <w:rFonts w:ascii="Times New Roman" w:hAnsi="Times New Roman" w:cs="Times New Roman"/>
          <w:bCs/>
          <w:i/>
          <w:iCs/>
          <w:color w:val="EE0000"/>
          <w:sz w:val="24"/>
          <w:szCs w:val="24"/>
        </w:rPr>
        <w:t>Hernandez-Avalos v. Lynch</w:t>
      </w:r>
      <w:r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>, 784 F.3d 944, 949-50 (4</w:t>
      </w:r>
      <w:r w:rsidRPr="0060116E">
        <w:rPr>
          <w:rFonts w:ascii="Times New Roman" w:hAnsi="Times New Roman" w:cs="Times New Roman"/>
          <w:bCs/>
          <w:color w:val="EE0000"/>
          <w:sz w:val="24"/>
          <w:szCs w:val="24"/>
          <w:vertAlign w:val="superscript"/>
        </w:rPr>
        <w:t>th</w:t>
      </w:r>
      <w:r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 Cir. 2015)</w:t>
      </w:r>
    </w:p>
    <w:p w14:paraId="54A54A0B" w14:textId="77777777" w:rsidR="00544A95" w:rsidRPr="0060116E" w:rsidRDefault="00544A95" w:rsidP="00544A95">
      <w:pPr>
        <w:pStyle w:val="ListParagraph"/>
        <w:spacing w:after="0"/>
        <w:rPr>
          <w:rFonts w:ascii="Times New Roman" w:hAnsi="Times New Roman" w:cs="Times New Roman"/>
          <w:bCs/>
          <w:color w:val="EE0000"/>
          <w:sz w:val="24"/>
          <w:szCs w:val="24"/>
        </w:rPr>
      </w:pPr>
    </w:p>
    <w:p w14:paraId="48649C69" w14:textId="4189C678" w:rsidR="00792819" w:rsidRPr="0060116E" w:rsidRDefault="00792819" w:rsidP="00BB4E4A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color w:val="EE0000"/>
          <w:sz w:val="24"/>
          <w:szCs w:val="24"/>
        </w:rPr>
      </w:pPr>
      <w:r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>Third Circuit reject</w:t>
      </w:r>
      <w:r w:rsidR="00C14A6D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s BIA precedents stating that protected ground cannot be “subordinate” to another reason. </w:t>
      </w:r>
      <w:r w:rsidR="009B276C" w:rsidRPr="0060116E">
        <w:rPr>
          <w:rFonts w:ascii="Times New Roman" w:hAnsi="Times New Roman" w:cs="Times New Roman"/>
          <w:bCs/>
          <w:i/>
          <w:iCs/>
          <w:color w:val="EE0000"/>
          <w:sz w:val="24"/>
          <w:szCs w:val="24"/>
        </w:rPr>
        <w:t>Ndayshimiye v. A.G.</w:t>
      </w:r>
      <w:r w:rsidR="009B276C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>, 557 F.3d 124, 129-31 (3d Cir. 2009)</w:t>
      </w:r>
      <w:r w:rsidR="00035882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>. (See 688 at n.2)</w:t>
      </w:r>
    </w:p>
    <w:p w14:paraId="3617F585" w14:textId="77777777" w:rsidR="00544A95" w:rsidRPr="0060116E" w:rsidRDefault="00544A95" w:rsidP="00544A95">
      <w:pPr>
        <w:pStyle w:val="ListParagraph"/>
        <w:rPr>
          <w:rFonts w:ascii="Times New Roman" w:hAnsi="Times New Roman" w:cs="Times New Roman"/>
          <w:bCs/>
          <w:color w:val="EE0000"/>
          <w:sz w:val="24"/>
          <w:szCs w:val="24"/>
        </w:rPr>
      </w:pPr>
    </w:p>
    <w:p w14:paraId="71AE609C" w14:textId="27A9A428" w:rsidR="00B2357C" w:rsidRPr="0060116E" w:rsidRDefault="00B2357C" w:rsidP="00544A95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color w:val="EE0000"/>
          <w:sz w:val="24"/>
          <w:szCs w:val="24"/>
        </w:rPr>
      </w:pPr>
      <w:r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Harm to non-immediate family members seems to me to be an indication that </w:t>
      </w:r>
      <w:r w:rsidRPr="0060116E">
        <w:rPr>
          <w:rFonts w:ascii="Times New Roman" w:hAnsi="Times New Roman" w:cs="Times New Roman"/>
          <w:bCs/>
          <w:i/>
          <w:iCs/>
          <w:color w:val="EE0000"/>
          <w:sz w:val="24"/>
          <w:szCs w:val="24"/>
        </w:rPr>
        <w:t>immediate</w:t>
      </w:r>
      <w:r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 family members would be targeted </w:t>
      </w:r>
      <w:r w:rsidR="00781C2D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>at least as often, if not more</w:t>
      </w:r>
      <w:r w:rsidR="00544A95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>, in connection with the gang’s previous predatory intention re. that family</w:t>
      </w:r>
      <w:r w:rsidR="00781C2D" w:rsidRPr="0060116E">
        <w:rPr>
          <w:rFonts w:ascii="Times New Roman" w:hAnsi="Times New Roman" w:cs="Times New Roman"/>
          <w:bCs/>
          <w:color w:val="EE0000"/>
          <w:sz w:val="24"/>
          <w:szCs w:val="24"/>
        </w:rPr>
        <w:t>. (see 689 and exasperated notes above)</w:t>
      </w:r>
    </w:p>
    <w:sectPr w:rsidR="00B2357C" w:rsidRPr="0060116E" w:rsidSect="00F57981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6AE6C3" w14:textId="77777777" w:rsidR="00247270" w:rsidRDefault="00247270" w:rsidP="00077658">
      <w:pPr>
        <w:spacing w:after="0" w:line="240" w:lineRule="auto"/>
      </w:pPr>
      <w:r>
        <w:separator/>
      </w:r>
    </w:p>
  </w:endnote>
  <w:endnote w:type="continuationSeparator" w:id="0">
    <w:p w14:paraId="738171BD" w14:textId="77777777" w:rsidR="00247270" w:rsidRDefault="00247270" w:rsidP="00077658">
      <w:pPr>
        <w:spacing w:after="0" w:line="240" w:lineRule="auto"/>
      </w:pPr>
      <w:r>
        <w:continuationSeparator/>
      </w:r>
    </w:p>
  </w:endnote>
  <w:endnote w:type="continuationNotice" w:id="1">
    <w:p w14:paraId="2BEFBB79" w14:textId="77777777" w:rsidR="00247270" w:rsidRDefault="0024727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C0F08C" w14:textId="77777777" w:rsidR="00247270" w:rsidRDefault="00247270" w:rsidP="00077658">
      <w:pPr>
        <w:spacing w:after="0" w:line="240" w:lineRule="auto"/>
      </w:pPr>
      <w:r>
        <w:separator/>
      </w:r>
    </w:p>
  </w:footnote>
  <w:footnote w:type="continuationSeparator" w:id="0">
    <w:p w14:paraId="0CC7D00E" w14:textId="77777777" w:rsidR="00247270" w:rsidRDefault="00247270" w:rsidP="00077658">
      <w:pPr>
        <w:spacing w:after="0" w:line="240" w:lineRule="auto"/>
      </w:pPr>
      <w:r>
        <w:continuationSeparator/>
      </w:r>
    </w:p>
  </w:footnote>
  <w:footnote w:type="continuationNotice" w:id="1">
    <w:p w14:paraId="5F091450" w14:textId="77777777" w:rsidR="00247270" w:rsidRDefault="0024727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453BD1" w14:textId="193EB4D1" w:rsidR="00077658" w:rsidRDefault="00886489">
    <w:pPr>
      <w:pStyle w:val="Header"/>
    </w:pPr>
    <w:r>
      <w:t>BIA</w:t>
    </w:r>
    <w:r w:rsidR="00077658">
      <w:ptab w:relativeTo="margin" w:alignment="center" w:leader="none"/>
    </w:r>
    <w:r w:rsidR="009B7BB5">
      <w:t>June 5, 2026</w:t>
    </w:r>
    <w:r w:rsidR="0075022B">
      <w:t xml:space="preserve"> </w:t>
    </w:r>
    <w:r w:rsidR="00077658">
      <w:ptab w:relativeTo="margin" w:alignment="right" w:leader="none"/>
    </w:r>
    <w:r w:rsidR="009B7BB5">
      <w:t>Matter of S-E-M-Z-</w:t>
    </w:r>
  </w:p>
  <w:p w14:paraId="20453BD2" w14:textId="40EABE19" w:rsidR="00077658" w:rsidRDefault="009B7BB5" w:rsidP="00077658">
    <w:pPr>
      <w:pStyle w:val="Header"/>
      <w:jc w:val="right"/>
    </w:pPr>
    <w:r>
      <w:t>PSG – SOCIAL DISTINCTION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B66BD"/>
    <w:multiLevelType w:val="hybridMultilevel"/>
    <w:tmpl w:val="E266EB8C"/>
    <w:lvl w:ilvl="0" w:tplc="C56694E0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931844"/>
    <w:multiLevelType w:val="hybridMultilevel"/>
    <w:tmpl w:val="EE84C322"/>
    <w:lvl w:ilvl="0" w:tplc="695ED2BC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70429">
    <w:abstractNumId w:val="1"/>
  </w:num>
  <w:num w:numId="2" w16cid:durableId="6263495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658"/>
    <w:rsid w:val="00000F80"/>
    <w:rsid w:val="0001686B"/>
    <w:rsid w:val="0002188A"/>
    <w:rsid w:val="00035882"/>
    <w:rsid w:val="00036FDB"/>
    <w:rsid w:val="00054F3D"/>
    <w:rsid w:val="00066AC2"/>
    <w:rsid w:val="00073DD1"/>
    <w:rsid w:val="000745FA"/>
    <w:rsid w:val="00077658"/>
    <w:rsid w:val="0008030B"/>
    <w:rsid w:val="000B39CE"/>
    <w:rsid w:val="000C1A0F"/>
    <w:rsid w:val="000D1F6D"/>
    <w:rsid w:val="000D578A"/>
    <w:rsid w:val="000E30B0"/>
    <w:rsid w:val="0011010A"/>
    <w:rsid w:val="001132F0"/>
    <w:rsid w:val="0013230D"/>
    <w:rsid w:val="00154DA6"/>
    <w:rsid w:val="00184014"/>
    <w:rsid w:val="00195E1C"/>
    <w:rsid w:val="001962A3"/>
    <w:rsid w:val="00197CF9"/>
    <w:rsid w:val="001A3A36"/>
    <w:rsid w:val="001A47D3"/>
    <w:rsid w:val="001A6ECE"/>
    <w:rsid w:val="001B00C3"/>
    <w:rsid w:val="001C5D5A"/>
    <w:rsid w:val="001D4A46"/>
    <w:rsid w:val="001E3B4E"/>
    <w:rsid w:val="001F53CC"/>
    <w:rsid w:val="00214543"/>
    <w:rsid w:val="002228E2"/>
    <w:rsid w:val="00222C74"/>
    <w:rsid w:val="00236039"/>
    <w:rsid w:val="00241EFC"/>
    <w:rsid w:val="00244439"/>
    <w:rsid w:val="00247270"/>
    <w:rsid w:val="00247C22"/>
    <w:rsid w:val="00247DF4"/>
    <w:rsid w:val="002D0113"/>
    <w:rsid w:val="002F1370"/>
    <w:rsid w:val="00346C5E"/>
    <w:rsid w:val="00393B73"/>
    <w:rsid w:val="003B1E24"/>
    <w:rsid w:val="003C74DC"/>
    <w:rsid w:val="003F1F9F"/>
    <w:rsid w:val="003F6140"/>
    <w:rsid w:val="00403DD1"/>
    <w:rsid w:val="00407E4C"/>
    <w:rsid w:val="00414A71"/>
    <w:rsid w:val="00417F16"/>
    <w:rsid w:val="00424F3C"/>
    <w:rsid w:val="00426F8D"/>
    <w:rsid w:val="00443B4D"/>
    <w:rsid w:val="00462C7F"/>
    <w:rsid w:val="004779BD"/>
    <w:rsid w:val="004938E2"/>
    <w:rsid w:val="004A348E"/>
    <w:rsid w:val="004A7C1F"/>
    <w:rsid w:val="004B1D1E"/>
    <w:rsid w:val="004B2B34"/>
    <w:rsid w:val="004B7D17"/>
    <w:rsid w:val="004C7A2C"/>
    <w:rsid w:val="004D6040"/>
    <w:rsid w:val="0050019F"/>
    <w:rsid w:val="00524AA5"/>
    <w:rsid w:val="00534464"/>
    <w:rsid w:val="005352FC"/>
    <w:rsid w:val="00544A95"/>
    <w:rsid w:val="00546AA9"/>
    <w:rsid w:val="00562E05"/>
    <w:rsid w:val="00572B78"/>
    <w:rsid w:val="00573E30"/>
    <w:rsid w:val="00594E3D"/>
    <w:rsid w:val="005960F3"/>
    <w:rsid w:val="005A04EB"/>
    <w:rsid w:val="005A1C57"/>
    <w:rsid w:val="005B77DA"/>
    <w:rsid w:val="005D0418"/>
    <w:rsid w:val="005E2E30"/>
    <w:rsid w:val="005F6A48"/>
    <w:rsid w:val="0060116E"/>
    <w:rsid w:val="00601EA1"/>
    <w:rsid w:val="006054B7"/>
    <w:rsid w:val="00607087"/>
    <w:rsid w:val="00607A91"/>
    <w:rsid w:val="00611370"/>
    <w:rsid w:val="00621429"/>
    <w:rsid w:val="006366F9"/>
    <w:rsid w:val="0065109E"/>
    <w:rsid w:val="00674F3B"/>
    <w:rsid w:val="00677EC1"/>
    <w:rsid w:val="0068302E"/>
    <w:rsid w:val="006A0DA2"/>
    <w:rsid w:val="006C235C"/>
    <w:rsid w:val="006C5169"/>
    <w:rsid w:val="006D0211"/>
    <w:rsid w:val="006F29DF"/>
    <w:rsid w:val="007108AF"/>
    <w:rsid w:val="00724073"/>
    <w:rsid w:val="007350FE"/>
    <w:rsid w:val="00746D93"/>
    <w:rsid w:val="0075022B"/>
    <w:rsid w:val="007533CD"/>
    <w:rsid w:val="00757F7E"/>
    <w:rsid w:val="00766473"/>
    <w:rsid w:val="00775DFC"/>
    <w:rsid w:val="00781C2D"/>
    <w:rsid w:val="00786E75"/>
    <w:rsid w:val="00792819"/>
    <w:rsid w:val="007B2FFC"/>
    <w:rsid w:val="007C6F91"/>
    <w:rsid w:val="00812455"/>
    <w:rsid w:val="00831374"/>
    <w:rsid w:val="0083662D"/>
    <w:rsid w:val="00836C9E"/>
    <w:rsid w:val="00886489"/>
    <w:rsid w:val="008B05F4"/>
    <w:rsid w:val="008E76FA"/>
    <w:rsid w:val="00915F26"/>
    <w:rsid w:val="00932BDD"/>
    <w:rsid w:val="00936658"/>
    <w:rsid w:val="00936CAE"/>
    <w:rsid w:val="0094152E"/>
    <w:rsid w:val="00946B28"/>
    <w:rsid w:val="00954403"/>
    <w:rsid w:val="00971ED9"/>
    <w:rsid w:val="009B276C"/>
    <w:rsid w:val="009B492F"/>
    <w:rsid w:val="009B7BB5"/>
    <w:rsid w:val="009C0E64"/>
    <w:rsid w:val="009C12CD"/>
    <w:rsid w:val="009E056B"/>
    <w:rsid w:val="009E6A6E"/>
    <w:rsid w:val="009F7107"/>
    <w:rsid w:val="00A41303"/>
    <w:rsid w:val="00A53DDF"/>
    <w:rsid w:val="00A5716D"/>
    <w:rsid w:val="00A73E7A"/>
    <w:rsid w:val="00A82ED2"/>
    <w:rsid w:val="00AA1A8A"/>
    <w:rsid w:val="00AA5453"/>
    <w:rsid w:val="00AB00B1"/>
    <w:rsid w:val="00AB6035"/>
    <w:rsid w:val="00AC0226"/>
    <w:rsid w:val="00AC26EB"/>
    <w:rsid w:val="00AC65BD"/>
    <w:rsid w:val="00AE4456"/>
    <w:rsid w:val="00AF0C01"/>
    <w:rsid w:val="00B13A5E"/>
    <w:rsid w:val="00B16D3B"/>
    <w:rsid w:val="00B1776F"/>
    <w:rsid w:val="00B2026B"/>
    <w:rsid w:val="00B20666"/>
    <w:rsid w:val="00B2357C"/>
    <w:rsid w:val="00B51DC5"/>
    <w:rsid w:val="00B70D03"/>
    <w:rsid w:val="00B731E3"/>
    <w:rsid w:val="00B76070"/>
    <w:rsid w:val="00B806D5"/>
    <w:rsid w:val="00B93D40"/>
    <w:rsid w:val="00BA5C13"/>
    <w:rsid w:val="00BB4E4A"/>
    <w:rsid w:val="00BC46B0"/>
    <w:rsid w:val="00BC6D2D"/>
    <w:rsid w:val="00BD673D"/>
    <w:rsid w:val="00BF3B2B"/>
    <w:rsid w:val="00C05EAA"/>
    <w:rsid w:val="00C14A6D"/>
    <w:rsid w:val="00C15BC9"/>
    <w:rsid w:val="00C21141"/>
    <w:rsid w:val="00C37ED0"/>
    <w:rsid w:val="00C80BBF"/>
    <w:rsid w:val="00C847FD"/>
    <w:rsid w:val="00CA0F24"/>
    <w:rsid w:val="00CD1844"/>
    <w:rsid w:val="00CD3395"/>
    <w:rsid w:val="00CD5931"/>
    <w:rsid w:val="00CE41B9"/>
    <w:rsid w:val="00CF6CBE"/>
    <w:rsid w:val="00D01DC0"/>
    <w:rsid w:val="00D05FE4"/>
    <w:rsid w:val="00D12634"/>
    <w:rsid w:val="00D15F0E"/>
    <w:rsid w:val="00D20D2F"/>
    <w:rsid w:val="00D321B8"/>
    <w:rsid w:val="00D561E2"/>
    <w:rsid w:val="00D60FFB"/>
    <w:rsid w:val="00D6778E"/>
    <w:rsid w:val="00D84961"/>
    <w:rsid w:val="00D906EB"/>
    <w:rsid w:val="00DC4F7A"/>
    <w:rsid w:val="00DD4637"/>
    <w:rsid w:val="00DE0A2C"/>
    <w:rsid w:val="00DE7FED"/>
    <w:rsid w:val="00DF1D1F"/>
    <w:rsid w:val="00DF3926"/>
    <w:rsid w:val="00E23C01"/>
    <w:rsid w:val="00E27014"/>
    <w:rsid w:val="00E46C8A"/>
    <w:rsid w:val="00E56CA6"/>
    <w:rsid w:val="00E63AF8"/>
    <w:rsid w:val="00E706B9"/>
    <w:rsid w:val="00EB4D80"/>
    <w:rsid w:val="00F11E60"/>
    <w:rsid w:val="00F12CC9"/>
    <w:rsid w:val="00F23676"/>
    <w:rsid w:val="00F33151"/>
    <w:rsid w:val="00F4787E"/>
    <w:rsid w:val="00F54989"/>
    <w:rsid w:val="00F56E71"/>
    <w:rsid w:val="00F57981"/>
    <w:rsid w:val="00F61B86"/>
    <w:rsid w:val="00F6327A"/>
    <w:rsid w:val="00F84A37"/>
    <w:rsid w:val="00FB2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453BB7"/>
  <w15:docId w15:val="{00E3B7BA-ABDC-44B9-978B-45B2B9269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41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776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7658"/>
  </w:style>
  <w:style w:type="paragraph" w:styleId="Footer">
    <w:name w:val="footer"/>
    <w:basedOn w:val="Normal"/>
    <w:link w:val="FooterChar"/>
    <w:uiPriority w:val="99"/>
    <w:unhideWhenUsed/>
    <w:rsid w:val="000776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7658"/>
  </w:style>
  <w:style w:type="paragraph" w:styleId="BalloonText">
    <w:name w:val="Balloon Text"/>
    <w:basedOn w:val="Normal"/>
    <w:link w:val="BalloonTextChar"/>
    <w:uiPriority w:val="99"/>
    <w:semiHidden/>
    <w:unhideWhenUsed/>
    <w:rsid w:val="000776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765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D18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1923</Words>
  <Characters>10963</Characters>
  <Application>Microsoft Office Word</Application>
  <DocSecurity>0</DocSecurity>
  <Lines>91</Lines>
  <Paragraphs>25</Paragraphs>
  <ScaleCrop>false</ScaleCrop>
  <Company>Hewlett-Packard Company</Company>
  <LinksUpToDate>false</LinksUpToDate>
  <CharactersWithSpaces>12861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paige</dc:creator>
  <cp:lastModifiedBy>Paige Britton</cp:lastModifiedBy>
  <cp:revision>2</cp:revision>
  <dcterms:created xsi:type="dcterms:W3CDTF">2026-06-06T21:16:00Z</dcterms:created>
  <dcterms:modified xsi:type="dcterms:W3CDTF">2026-06-06T21:16:00Z</dcterms:modified>
</cp:coreProperties>
</file>