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3A804" w14:textId="3826892F" w:rsidR="00CE41B9" w:rsidRPr="003E0FF6" w:rsidRDefault="00077658" w:rsidP="00257700">
      <w:pPr>
        <w:spacing w:after="0"/>
        <w:jc w:val="center"/>
        <w:rPr>
          <w:rFonts w:ascii="Times New Roman" w:hAnsi="Times New Roman" w:cs="Times New Roman"/>
          <w:b/>
          <w:sz w:val="24"/>
          <w:szCs w:val="24"/>
        </w:rPr>
      </w:pPr>
      <w:r w:rsidRPr="003E0FF6">
        <w:rPr>
          <w:rFonts w:ascii="Times New Roman" w:hAnsi="Times New Roman" w:cs="Times New Roman"/>
          <w:b/>
          <w:sz w:val="24"/>
          <w:szCs w:val="24"/>
        </w:rPr>
        <w:t>Immigration Court:</w:t>
      </w:r>
      <w:r w:rsidR="00D55D07">
        <w:rPr>
          <w:rFonts w:ascii="Times New Roman" w:hAnsi="Times New Roman" w:cs="Times New Roman"/>
          <w:b/>
          <w:sz w:val="24"/>
          <w:szCs w:val="24"/>
        </w:rPr>
        <w:t xml:space="preserve"> BIA</w:t>
      </w:r>
    </w:p>
    <w:p w14:paraId="54116689" w14:textId="543B9C76" w:rsidR="00077658" w:rsidRPr="00D55D07" w:rsidRDefault="00077658" w:rsidP="00077658">
      <w:pPr>
        <w:rPr>
          <w:rFonts w:ascii="Times New Roman" w:hAnsi="Times New Roman" w:cs="Times New Roman"/>
          <w:bCs/>
          <w:sz w:val="24"/>
          <w:szCs w:val="24"/>
        </w:rPr>
      </w:pPr>
      <w:r w:rsidRPr="003E0FF6">
        <w:rPr>
          <w:rFonts w:ascii="Times New Roman" w:hAnsi="Times New Roman" w:cs="Times New Roman"/>
          <w:b/>
          <w:sz w:val="24"/>
          <w:szCs w:val="24"/>
        </w:rPr>
        <w:t>Case:</w:t>
      </w:r>
      <w:r w:rsidRPr="003E0FF6">
        <w:rPr>
          <w:rFonts w:ascii="Times New Roman" w:hAnsi="Times New Roman" w:cs="Times New Roman"/>
          <w:b/>
          <w:sz w:val="24"/>
          <w:szCs w:val="24"/>
        </w:rPr>
        <w:tab/>
      </w:r>
      <w:r w:rsidR="00D55D07">
        <w:rPr>
          <w:rFonts w:ascii="Times New Roman" w:hAnsi="Times New Roman" w:cs="Times New Roman"/>
          <w:b/>
          <w:i/>
          <w:iCs/>
          <w:sz w:val="24"/>
          <w:szCs w:val="24"/>
        </w:rPr>
        <w:t>Matter of L-F-R-</w:t>
      </w:r>
      <w:r w:rsidR="00D55D07">
        <w:rPr>
          <w:rFonts w:ascii="Times New Roman" w:hAnsi="Times New Roman" w:cs="Times New Roman"/>
          <w:b/>
          <w:sz w:val="24"/>
          <w:szCs w:val="24"/>
        </w:rPr>
        <w:t>, 29 I&amp;N Dec. 787 (BIA 2026)</w:t>
      </w:r>
      <w:r w:rsidRPr="003E0FF6">
        <w:rPr>
          <w:rFonts w:ascii="Times New Roman" w:hAnsi="Times New Roman" w:cs="Times New Roman"/>
          <w:b/>
          <w:sz w:val="24"/>
          <w:szCs w:val="24"/>
        </w:rPr>
        <w:tab/>
      </w:r>
      <w:r w:rsidRPr="003E0FF6">
        <w:rPr>
          <w:rFonts w:ascii="Times New Roman" w:hAnsi="Times New Roman" w:cs="Times New Roman"/>
          <w:b/>
          <w:sz w:val="24"/>
          <w:szCs w:val="24"/>
        </w:rPr>
        <w:tab/>
      </w:r>
      <w:r w:rsidRPr="003E0FF6">
        <w:rPr>
          <w:rFonts w:ascii="Times New Roman" w:hAnsi="Times New Roman" w:cs="Times New Roman"/>
          <w:b/>
          <w:sz w:val="24"/>
          <w:szCs w:val="24"/>
        </w:rPr>
        <w:tab/>
        <w:t>Date:</w:t>
      </w:r>
      <w:r w:rsidR="00D55D07">
        <w:rPr>
          <w:rFonts w:ascii="Times New Roman" w:hAnsi="Times New Roman" w:cs="Times New Roman"/>
          <w:b/>
          <w:sz w:val="24"/>
          <w:szCs w:val="24"/>
        </w:rPr>
        <w:t xml:space="preserve"> </w:t>
      </w:r>
      <w:r w:rsidR="00D55D07">
        <w:rPr>
          <w:rFonts w:ascii="Times New Roman" w:hAnsi="Times New Roman" w:cs="Times New Roman"/>
          <w:bCs/>
          <w:sz w:val="24"/>
          <w:szCs w:val="24"/>
        </w:rPr>
        <w:t>July 24, 2026</w:t>
      </w:r>
    </w:p>
    <w:p w14:paraId="6159260C" w14:textId="4DDA22DB" w:rsidR="00077658" w:rsidRPr="00D55D07" w:rsidRDefault="00077658" w:rsidP="00077658">
      <w:pPr>
        <w:rPr>
          <w:rFonts w:ascii="Times New Roman" w:hAnsi="Times New Roman" w:cs="Times New Roman"/>
          <w:bCs/>
          <w:sz w:val="24"/>
          <w:szCs w:val="24"/>
        </w:rPr>
      </w:pPr>
      <w:r w:rsidRPr="003E0FF6">
        <w:rPr>
          <w:rFonts w:ascii="Times New Roman" w:hAnsi="Times New Roman" w:cs="Times New Roman"/>
          <w:b/>
          <w:sz w:val="24"/>
          <w:szCs w:val="24"/>
        </w:rPr>
        <w:t>Adjudicated by:</w:t>
      </w:r>
      <w:r w:rsidR="00D55D07">
        <w:rPr>
          <w:rFonts w:ascii="Times New Roman" w:hAnsi="Times New Roman" w:cs="Times New Roman"/>
          <w:bCs/>
          <w:sz w:val="24"/>
          <w:szCs w:val="24"/>
        </w:rPr>
        <w:t xml:space="preserve"> Gorman, Picos, Volkert</w:t>
      </w:r>
      <w:r w:rsidRPr="003E0FF6">
        <w:rPr>
          <w:rFonts w:ascii="Times New Roman" w:hAnsi="Times New Roman" w:cs="Times New Roman"/>
          <w:b/>
          <w:sz w:val="24"/>
          <w:szCs w:val="24"/>
        </w:rPr>
        <w:tab/>
      </w:r>
      <w:r w:rsidRPr="003E0FF6">
        <w:rPr>
          <w:rFonts w:ascii="Times New Roman" w:hAnsi="Times New Roman" w:cs="Times New Roman"/>
          <w:b/>
          <w:sz w:val="24"/>
          <w:szCs w:val="24"/>
        </w:rPr>
        <w:tab/>
      </w:r>
      <w:r w:rsidR="00D55D07">
        <w:rPr>
          <w:rFonts w:ascii="Times New Roman" w:hAnsi="Times New Roman" w:cs="Times New Roman"/>
          <w:b/>
          <w:sz w:val="24"/>
          <w:szCs w:val="24"/>
        </w:rPr>
        <w:tab/>
      </w:r>
      <w:r w:rsidRPr="003E0FF6">
        <w:rPr>
          <w:rFonts w:ascii="Times New Roman" w:hAnsi="Times New Roman" w:cs="Times New Roman"/>
          <w:b/>
          <w:sz w:val="24"/>
          <w:szCs w:val="24"/>
        </w:rPr>
        <w:t>Opinion:</w:t>
      </w:r>
      <w:r w:rsidR="00D55D07">
        <w:rPr>
          <w:rFonts w:ascii="Times New Roman" w:hAnsi="Times New Roman" w:cs="Times New Roman"/>
          <w:bCs/>
          <w:sz w:val="24"/>
          <w:szCs w:val="24"/>
        </w:rPr>
        <w:t xml:space="preserve"> Gorman</w:t>
      </w:r>
    </w:p>
    <w:p w14:paraId="341573E6" w14:textId="3E76C9B2" w:rsidR="00077658" w:rsidRPr="00D55D07" w:rsidRDefault="00077658" w:rsidP="00077658">
      <w:pPr>
        <w:rPr>
          <w:rFonts w:ascii="Times New Roman" w:hAnsi="Times New Roman" w:cs="Times New Roman"/>
          <w:bCs/>
          <w:sz w:val="24"/>
          <w:szCs w:val="24"/>
        </w:rPr>
      </w:pPr>
      <w:r w:rsidRPr="003E0FF6">
        <w:rPr>
          <w:rFonts w:ascii="Times New Roman" w:hAnsi="Times New Roman" w:cs="Times New Roman"/>
          <w:b/>
          <w:sz w:val="24"/>
          <w:szCs w:val="24"/>
        </w:rPr>
        <w:t>Tags:</w:t>
      </w:r>
      <w:r w:rsidR="00D55D07">
        <w:rPr>
          <w:rFonts w:ascii="Times New Roman" w:hAnsi="Times New Roman" w:cs="Times New Roman"/>
          <w:bCs/>
          <w:sz w:val="24"/>
          <w:szCs w:val="24"/>
        </w:rPr>
        <w:t xml:space="preserve"> Annual Asylum Fee, OBBBA, Withholding of Removal, CAT, pretermission</w:t>
      </w:r>
    </w:p>
    <w:p w14:paraId="134E4CC1" w14:textId="3B39198F" w:rsidR="00D55D07" w:rsidRDefault="00077658" w:rsidP="00D55D07">
      <w:pPr>
        <w:spacing w:after="0"/>
        <w:rPr>
          <w:rFonts w:ascii="Times New Roman" w:hAnsi="Times New Roman" w:cs="Times New Roman"/>
          <w:bCs/>
          <w:sz w:val="24"/>
          <w:szCs w:val="24"/>
        </w:rPr>
      </w:pPr>
      <w:r w:rsidRPr="003E0FF6">
        <w:rPr>
          <w:rFonts w:ascii="Times New Roman" w:hAnsi="Times New Roman" w:cs="Times New Roman"/>
          <w:b/>
          <w:sz w:val="24"/>
          <w:szCs w:val="24"/>
        </w:rPr>
        <w:t>Question</w:t>
      </w:r>
      <w:r w:rsidR="00D55D07">
        <w:rPr>
          <w:rFonts w:ascii="Times New Roman" w:hAnsi="Times New Roman" w:cs="Times New Roman"/>
          <w:b/>
          <w:sz w:val="24"/>
          <w:szCs w:val="24"/>
        </w:rPr>
        <w:t>s</w:t>
      </w:r>
      <w:r w:rsidRPr="003E0FF6">
        <w:rPr>
          <w:rFonts w:ascii="Times New Roman" w:hAnsi="Times New Roman" w:cs="Times New Roman"/>
          <w:b/>
          <w:sz w:val="24"/>
          <w:szCs w:val="24"/>
        </w:rPr>
        <w:t xml:space="preserve"> Presented:</w:t>
      </w:r>
      <w:r w:rsidR="00D55D07">
        <w:rPr>
          <w:rFonts w:ascii="Times New Roman" w:hAnsi="Times New Roman" w:cs="Times New Roman"/>
          <w:bCs/>
          <w:sz w:val="24"/>
          <w:szCs w:val="24"/>
        </w:rPr>
        <w:t xml:space="preserve"> </w:t>
      </w:r>
    </w:p>
    <w:p w14:paraId="0969C85C" w14:textId="2FF92E36" w:rsidR="00077658" w:rsidRDefault="00D55D07" w:rsidP="00077658">
      <w:pPr>
        <w:pStyle w:val="ListParagraph"/>
        <w:numPr>
          <w:ilvl w:val="0"/>
          <w:numId w:val="2"/>
        </w:numPr>
        <w:rPr>
          <w:rFonts w:ascii="Times New Roman" w:hAnsi="Times New Roman" w:cs="Times New Roman"/>
          <w:bCs/>
          <w:sz w:val="24"/>
          <w:szCs w:val="24"/>
        </w:rPr>
      </w:pPr>
      <w:r>
        <w:rPr>
          <w:rFonts w:ascii="Times New Roman" w:hAnsi="Times New Roman" w:cs="Times New Roman"/>
          <w:bCs/>
          <w:sz w:val="24"/>
          <w:szCs w:val="24"/>
        </w:rPr>
        <w:t>Whether it’s appropriate for the IJ to pretermit an asylum application when the AAF was not paid by the deadline imposed by the IJ</w:t>
      </w:r>
    </w:p>
    <w:p w14:paraId="4204EF4C" w14:textId="6E922218" w:rsidR="00D55D07" w:rsidRPr="00D55D07" w:rsidRDefault="00D55D07" w:rsidP="00D55D07">
      <w:pPr>
        <w:pStyle w:val="ListParagraph"/>
        <w:numPr>
          <w:ilvl w:val="0"/>
          <w:numId w:val="2"/>
        </w:numPr>
        <w:rPr>
          <w:rFonts w:ascii="Times New Roman" w:hAnsi="Times New Roman" w:cs="Times New Roman"/>
          <w:bCs/>
          <w:sz w:val="24"/>
          <w:szCs w:val="24"/>
        </w:rPr>
      </w:pPr>
      <w:r w:rsidRPr="00D55D07">
        <w:rPr>
          <w:rFonts w:ascii="Times New Roman" w:hAnsi="Times New Roman" w:cs="Times New Roman"/>
          <w:bCs/>
          <w:sz w:val="24"/>
          <w:szCs w:val="24"/>
        </w:rPr>
        <w:t xml:space="preserve">Whether the “annual asylum fee” applies to </w:t>
      </w:r>
      <w:r>
        <w:rPr>
          <w:rFonts w:ascii="Times New Roman" w:hAnsi="Times New Roman" w:cs="Times New Roman"/>
          <w:bCs/>
          <w:sz w:val="24"/>
          <w:szCs w:val="24"/>
        </w:rPr>
        <w:t>withholding of removal &amp; CAT claims</w:t>
      </w:r>
    </w:p>
    <w:p w14:paraId="3A3817C9" w14:textId="77777777" w:rsidR="00077658" w:rsidRDefault="00077658" w:rsidP="00D55D07">
      <w:pPr>
        <w:spacing w:after="0"/>
        <w:rPr>
          <w:rFonts w:ascii="Times New Roman" w:hAnsi="Times New Roman" w:cs="Times New Roman"/>
          <w:bCs/>
          <w:sz w:val="24"/>
          <w:szCs w:val="24"/>
        </w:rPr>
      </w:pPr>
      <w:r w:rsidRPr="003E0FF6">
        <w:rPr>
          <w:rFonts w:ascii="Times New Roman" w:hAnsi="Times New Roman" w:cs="Times New Roman"/>
          <w:b/>
          <w:sz w:val="24"/>
          <w:szCs w:val="24"/>
        </w:rPr>
        <w:t>Holdings:</w:t>
      </w:r>
    </w:p>
    <w:p w14:paraId="1890EF0B" w14:textId="516B2F32" w:rsidR="00D55D07" w:rsidRDefault="00D55D07" w:rsidP="00D55D07">
      <w:pPr>
        <w:pStyle w:val="ListParagraph"/>
        <w:numPr>
          <w:ilvl w:val="0"/>
          <w:numId w:val="3"/>
        </w:numPr>
        <w:spacing w:after="0"/>
        <w:rPr>
          <w:rFonts w:ascii="Times New Roman" w:hAnsi="Times New Roman" w:cs="Times New Roman"/>
          <w:bCs/>
          <w:sz w:val="24"/>
          <w:szCs w:val="24"/>
        </w:rPr>
      </w:pPr>
      <w:r>
        <w:rPr>
          <w:rFonts w:ascii="Times New Roman" w:hAnsi="Times New Roman" w:cs="Times New Roman"/>
          <w:bCs/>
          <w:sz w:val="24"/>
          <w:szCs w:val="24"/>
        </w:rPr>
        <w:t>“If an alien fails to pay the annual asylum fee within the prescribed deadline, the alien’s asylum application should be pretermitted or deemed abandoned.”  787</w:t>
      </w:r>
    </w:p>
    <w:p w14:paraId="185E5FE3" w14:textId="3CA04000" w:rsidR="00D55D07" w:rsidRDefault="00D55D07" w:rsidP="00D55D07">
      <w:pPr>
        <w:pStyle w:val="ListParagraph"/>
        <w:numPr>
          <w:ilvl w:val="0"/>
          <w:numId w:val="3"/>
        </w:numPr>
        <w:spacing w:after="0"/>
        <w:rPr>
          <w:rFonts w:ascii="Times New Roman" w:hAnsi="Times New Roman" w:cs="Times New Roman"/>
          <w:bCs/>
          <w:sz w:val="24"/>
          <w:szCs w:val="24"/>
        </w:rPr>
      </w:pPr>
      <w:r>
        <w:rPr>
          <w:rFonts w:ascii="Times New Roman" w:hAnsi="Times New Roman" w:cs="Times New Roman"/>
          <w:bCs/>
          <w:sz w:val="24"/>
          <w:szCs w:val="24"/>
        </w:rPr>
        <w:t>“The annual asylum fee and consequences for not paying it do not extend to an application for statutory withholding of removal or a request for protection under the regulations implementing the Convention Against Torture.”</w:t>
      </w:r>
      <w:r>
        <w:rPr>
          <w:rFonts w:ascii="Times New Roman" w:hAnsi="Times New Roman" w:cs="Times New Roman"/>
          <w:bCs/>
          <w:sz w:val="24"/>
          <w:szCs w:val="24"/>
        </w:rPr>
        <w:tab/>
      </w:r>
      <w:r>
        <w:rPr>
          <w:rFonts w:ascii="Times New Roman" w:hAnsi="Times New Roman" w:cs="Times New Roman"/>
          <w:bCs/>
          <w:sz w:val="24"/>
          <w:szCs w:val="24"/>
        </w:rPr>
        <w:tab/>
        <w:t>787</w:t>
      </w:r>
    </w:p>
    <w:p w14:paraId="69DDC8DD" w14:textId="39FB9481" w:rsidR="00D55D07" w:rsidRDefault="00C81C1C" w:rsidP="00D55D07">
      <w:pPr>
        <w:pStyle w:val="ListParagraph"/>
        <w:numPr>
          <w:ilvl w:val="0"/>
          <w:numId w:val="3"/>
        </w:numPr>
        <w:spacing w:after="0"/>
        <w:rPr>
          <w:rFonts w:ascii="Times New Roman" w:hAnsi="Times New Roman" w:cs="Times New Roman"/>
          <w:bCs/>
          <w:sz w:val="24"/>
          <w:szCs w:val="24"/>
        </w:rPr>
      </w:pPr>
      <w:r>
        <w:rPr>
          <w:rFonts w:ascii="Times New Roman" w:hAnsi="Times New Roman" w:cs="Times New Roman"/>
          <w:bCs/>
          <w:sz w:val="24"/>
          <w:szCs w:val="24"/>
        </w:rPr>
        <w:t xml:space="preserve">“It was error to pretermit the entire Form I-589 application.” </w:t>
      </w:r>
      <w:r w:rsidR="00D55D07">
        <w:rPr>
          <w:rFonts w:ascii="Times New Roman" w:hAnsi="Times New Roman" w:cs="Times New Roman"/>
          <w:bCs/>
          <w:sz w:val="24"/>
          <w:szCs w:val="24"/>
        </w:rPr>
        <w:t xml:space="preserve">Case remanded to IJ to </w:t>
      </w:r>
      <w:r>
        <w:rPr>
          <w:rFonts w:ascii="Times New Roman" w:hAnsi="Times New Roman" w:cs="Times New Roman"/>
          <w:bCs/>
          <w:sz w:val="24"/>
          <w:szCs w:val="24"/>
        </w:rPr>
        <w:t xml:space="preserve">(solely) </w:t>
      </w:r>
      <w:r w:rsidR="00D55D07">
        <w:rPr>
          <w:rFonts w:ascii="Times New Roman" w:hAnsi="Times New Roman" w:cs="Times New Roman"/>
          <w:bCs/>
          <w:sz w:val="24"/>
          <w:szCs w:val="24"/>
        </w:rPr>
        <w:t>consider withholding and CAT, because these shouldn’t have been pretermitted.</w:t>
      </w:r>
      <w:r w:rsidR="00D55D07">
        <w:rPr>
          <w:rFonts w:ascii="Times New Roman" w:hAnsi="Times New Roman" w:cs="Times New Roman"/>
          <w:bCs/>
          <w:sz w:val="24"/>
          <w:szCs w:val="24"/>
        </w:rPr>
        <w:tab/>
        <w:t>792</w:t>
      </w:r>
    </w:p>
    <w:p w14:paraId="6C522B3B" w14:textId="10AC5141" w:rsidR="00C81C1C" w:rsidRPr="00D55D07" w:rsidRDefault="00C81C1C" w:rsidP="00D55D07">
      <w:pPr>
        <w:pStyle w:val="ListParagraph"/>
        <w:numPr>
          <w:ilvl w:val="0"/>
          <w:numId w:val="3"/>
        </w:numPr>
        <w:spacing w:after="0"/>
        <w:rPr>
          <w:rFonts w:ascii="Times New Roman" w:hAnsi="Times New Roman" w:cs="Times New Roman"/>
          <w:bCs/>
          <w:sz w:val="24"/>
          <w:szCs w:val="24"/>
        </w:rPr>
      </w:pPr>
      <w:r>
        <w:rPr>
          <w:rFonts w:ascii="Times New Roman" w:hAnsi="Times New Roman" w:cs="Times New Roman"/>
          <w:bCs/>
          <w:sz w:val="24"/>
          <w:szCs w:val="24"/>
        </w:rPr>
        <w:t>(Arguably): IJs who choose to articulate a deadline should give “sufficient notice and opportunity to pay the [AAF].”  792 (here, the notice deemed “sufficient” was one month.</w:t>
      </w:r>
      <w:r>
        <w:rPr>
          <w:rFonts w:ascii="Times New Roman" w:hAnsi="Times New Roman" w:cs="Times New Roman"/>
          <w:bCs/>
          <w:sz w:val="24"/>
          <w:szCs w:val="24"/>
        </w:rPr>
        <w:tab/>
      </w:r>
      <w:r>
        <w:rPr>
          <w:rFonts w:ascii="Times New Roman" w:hAnsi="Times New Roman" w:cs="Times New Roman"/>
          <w:bCs/>
          <w:i/>
          <w:iCs/>
          <w:sz w:val="24"/>
          <w:szCs w:val="24"/>
        </w:rPr>
        <w:t>See</w:t>
      </w:r>
      <w:r>
        <w:rPr>
          <w:rFonts w:ascii="Times New Roman" w:hAnsi="Times New Roman" w:cs="Times New Roman"/>
          <w:bCs/>
          <w:sz w:val="24"/>
          <w:szCs w:val="24"/>
        </w:rPr>
        <w:t xml:space="preserve"> 788)</w:t>
      </w:r>
    </w:p>
    <w:p w14:paraId="14F553DD" w14:textId="49B71D96" w:rsidR="00077658" w:rsidRPr="003E0FF6" w:rsidRDefault="00D55D07" w:rsidP="00D55D07">
      <w:pPr>
        <w:tabs>
          <w:tab w:val="left" w:pos="8080"/>
        </w:tabs>
        <w:spacing w:after="0"/>
        <w:rPr>
          <w:rFonts w:ascii="Times New Roman" w:hAnsi="Times New Roman" w:cs="Times New Roman"/>
          <w:b/>
          <w:sz w:val="24"/>
          <w:szCs w:val="24"/>
        </w:rPr>
      </w:pPr>
      <w:r>
        <w:rPr>
          <w:rFonts w:ascii="Times New Roman" w:hAnsi="Times New Roman" w:cs="Times New Roman"/>
          <w:b/>
          <w:sz w:val="24"/>
          <w:szCs w:val="24"/>
        </w:rPr>
        <w:tab/>
      </w:r>
    </w:p>
    <w:p w14:paraId="229EF099" w14:textId="77777777" w:rsidR="00077658" w:rsidRDefault="00077658" w:rsidP="00D55D07">
      <w:pPr>
        <w:spacing w:after="0"/>
        <w:rPr>
          <w:rFonts w:ascii="Times New Roman" w:hAnsi="Times New Roman" w:cs="Times New Roman"/>
          <w:bCs/>
          <w:sz w:val="24"/>
          <w:szCs w:val="24"/>
        </w:rPr>
      </w:pPr>
      <w:r w:rsidRPr="003E0FF6">
        <w:rPr>
          <w:rFonts w:ascii="Times New Roman" w:hAnsi="Times New Roman" w:cs="Times New Roman"/>
          <w:b/>
          <w:sz w:val="24"/>
          <w:szCs w:val="24"/>
        </w:rPr>
        <w:t>Rationale:</w:t>
      </w:r>
    </w:p>
    <w:p w14:paraId="556132F8" w14:textId="7D301AC4" w:rsidR="00D55D07" w:rsidRPr="00D55D07" w:rsidRDefault="00D55D07" w:rsidP="00D55D07">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Cs/>
          <w:sz w:val="24"/>
          <w:szCs w:val="24"/>
        </w:rPr>
        <w:t>Plain text of the OBBBA does not reference withholding of removal and protection under the CAT when it mentions the AAF, even though Congress has shown in the past that it knows how to include those forms of relief in the text when it wants to. Therefore, it didn’t want to here.</w:t>
      </w:r>
      <w:r w:rsidR="00C81C1C">
        <w:rPr>
          <w:rFonts w:ascii="Times New Roman" w:hAnsi="Times New Roman" w:cs="Times New Roman"/>
          <w:bCs/>
          <w:sz w:val="24"/>
          <w:szCs w:val="24"/>
        </w:rPr>
        <w:tab/>
      </w:r>
      <w:r w:rsidR="00C81C1C">
        <w:rPr>
          <w:rFonts w:ascii="Times New Roman" w:hAnsi="Times New Roman" w:cs="Times New Roman"/>
          <w:bCs/>
          <w:sz w:val="24"/>
          <w:szCs w:val="24"/>
        </w:rPr>
        <w:tab/>
        <w:t>791</w:t>
      </w:r>
    </w:p>
    <w:p w14:paraId="7ADB494E" w14:textId="77777777" w:rsidR="00077658" w:rsidRPr="003E0FF6" w:rsidRDefault="00077658" w:rsidP="00D55D07">
      <w:pPr>
        <w:spacing w:after="0"/>
        <w:rPr>
          <w:rFonts w:ascii="Times New Roman" w:hAnsi="Times New Roman" w:cs="Times New Roman"/>
          <w:b/>
          <w:sz w:val="24"/>
          <w:szCs w:val="24"/>
        </w:rPr>
      </w:pPr>
    </w:p>
    <w:p w14:paraId="499827AD" w14:textId="7732E834" w:rsidR="00077658" w:rsidRDefault="00D55D07" w:rsidP="00D55D07">
      <w:pPr>
        <w:spacing w:after="0"/>
        <w:rPr>
          <w:rFonts w:ascii="Times New Roman" w:hAnsi="Times New Roman" w:cs="Times New Roman"/>
          <w:bCs/>
          <w:sz w:val="24"/>
          <w:szCs w:val="24"/>
        </w:rPr>
      </w:pPr>
      <w:r>
        <w:rPr>
          <w:rFonts w:ascii="Times New Roman" w:hAnsi="Times New Roman" w:cs="Times New Roman"/>
          <w:b/>
          <w:sz w:val="24"/>
          <w:szCs w:val="24"/>
        </w:rPr>
        <w:t>Procedural History:</w:t>
      </w:r>
      <w:r>
        <w:rPr>
          <w:rFonts w:ascii="Times New Roman" w:hAnsi="Times New Roman" w:cs="Times New Roman"/>
          <w:bCs/>
          <w:sz w:val="24"/>
          <w:szCs w:val="24"/>
        </w:rPr>
        <w:t xml:space="preserve"> </w:t>
      </w:r>
    </w:p>
    <w:p w14:paraId="4AEC5DE1" w14:textId="6486A86A" w:rsidR="00D55D07" w:rsidRDefault="00D55D07" w:rsidP="00D55D07">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Cs/>
          <w:sz w:val="24"/>
          <w:szCs w:val="24"/>
        </w:rPr>
        <w:t xml:space="preserve">January 13, 2025: Respondent timely filed I-589 application. </w:t>
      </w:r>
      <w:r>
        <w:rPr>
          <w:rFonts w:ascii="Times New Roman" w:hAnsi="Times New Roman" w:cs="Times New Roman"/>
          <w:bCs/>
          <w:sz w:val="24"/>
          <w:szCs w:val="24"/>
        </w:rPr>
        <w:tab/>
        <w:t>787-88</w:t>
      </w:r>
    </w:p>
    <w:p w14:paraId="3A725EF7" w14:textId="32FA648C" w:rsidR="00D55D07" w:rsidRDefault="00D55D07" w:rsidP="00D55D07">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Cs/>
          <w:sz w:val="24"/>
          <w:szCs w:val="24"/>
        </w:rPr>
        <w:t xml:space="preserve">February 12, 2026: IJ gave one month for R to pay AAF. </w:t>
      </w:r>
      <w:r>
        <w:rPr>
          <w:rFonts w:ascii="Times New Roman" w:hAnsi="Times New Roman" w:cs="Times New Roman"/>
          <w:bCs/>
          <w:sz w:val="24"/>
          <w:szCs w:val="24"/>
        </w:rPr>
        <w:tab/>
        <w:t>788</w:t>
      </w:r>
    </w:p>
    <w:p w14:paraId="4EA616CC" w14:textId="7E357998" w:rsidR="00D55D07" w:rsidRPr="00D55D07" w:rsidRDefault="00D55D07" w:rsidP="00D55D07">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Cs/>
          <w:sz w:val="24"/>
          <w:szCs w:val="24"/>
        </w:rPr>
        <w:t>March 16, 2026: AAF not paid by deadline, IJ pretermitted the whole I-589.</w:t>
      </w:r>
      <w:r>
        <w:rPr>
          <w:rFonts w:ascii="Times New Roman" w:hAnsi="Times New Roman" w:cs="Times New Roman"/>
          <w:bCs/>
          <w:sz w:val="24"/>
          <w:szCs w:val="24"/>
        </w:rPr>
        <w:tab/>
        <w:t>788</w:t>
      </w:r>
    </w:p>
    <w:p w14:paraId="6D36F8E1" w14:textId="77777777" w:rsidR="00077658" w:rsidRPr="003E0FF6" w:rsidRDefault="00077658" w:rsidP="00D55D07">
      <w:pPr>
        <w:spacing w:after="0"/>
        <w:rPr>
          <w:rFonts w:ascii="Times New Roman" w:hAnsi="Times New Roman" w:cs="Times New Roman"/>
          <w:b/>
          <w:sz w:val="24"/>
          <w:szCs w:val="24"/>
        </w:rPr>
      </w:pPr>
    </w:p>
    <w:p w14:paraId="0DB17628" w14:textId="187755CD" w:rsidR="00D55D07" w:rsidRDefault="00077658" w:rsidP="00D55D07">
      <w:pPr>
        <w:spacing w:after="0"/>
        <w:rPr>
          <w:rFonts w:ascii="Times New Roman" w:hAnsi="Times New Roman" w:cs="Times New Roman"/>
          <w:b/>
          <w:sz w:val="24"/>
          <w:szCs w:val="24"/>
        </w:rPr>
      </w:pPr>
      <w:r w:rsidRPr="003E0FF6">
        <w:rPr>
          <w:rFonts w:ascii="Times New Roman" w:hAnsi="Times New Roman" w:cs="Times New Roman"/>
          <w:b/>
          <w:sz w:val="24"/>
          <w:szCs w:val="24"/>
        </w:rPr>
        <w:t>Appeals to Statute</w:t>
      </w:r>
      <w:r w:rsidR="00D55D07">
        <w:rPr>
          <w:rFonts w:ascii="Times New Roman" w:hAnsi="Times New Roman" w:cs="Times New Roman"/>
          <w:b/>
          <w:sz w:val="24"/>
          <w:szCs w:val="24"/>
        </w:rPr>
        <w:t>s</w:t>
      </w:r>
      <w:r w:rsidRPr="003E0FF6">
        <w:rPr>
          <w:rFonts w:ascii="Times New Roman" w:hAnsi="Times New Roman" w:cs="Times New Roman"/>
          <w:b/>
          <w:sz w:val="24"/>
          <w:szCs w:val="24"/>
        </w:rPr>
        <w:t xml:space="preserve"> &amp;</w:t>
      </w:r>
      <w:r w:rsidR="00D55D07">
        <w:rPr>
          <w:rFonts w:ascii="Times New Roman" w:hAnsi="Times New Roman" w:cs="Times New Roman"/>
          <w:b/>
          <w:sz w:val="24"/>
          <w:szCs w:val="24"/>
        </w:rPr>
        <w:t xml:space="preserve"> Regulations:</w:t>
      </w:r>
      <w:r w:rsidRPr="003E0FF6">
        <w:rPr>
          <w:rFonts w:ascii="Times New Roman" w:hAnsi="Times New Roman" w:cs="Times New Roman"/>
          <w:b/>
          <w:sz w:val="24"/>
          <w:szCs w:val="24"/>
        </w:rPr>
        <w:t xml:space="preserve"> </w:t>
      </w:r>
    </w:p>
    <w:p w14:paraId="727F3043" w14:textId="1CE5F4E4" w:rsidR="00D55D07" w:rsidRDefault="00D55D07" w:rsidP="00D55D07">
      <w:pPr>
        <w:pStyle w:val="ListParagraph"/>
        <w:numPr>
          <w:ilvl w:val="0"/>
          <w:numId w:val="5"/>
        </w:numPr>
        <w:spacing w:after="0"/>
        <w:rPr>
          <w:rFonts w:ascii="Times New Roman" w:hAnsi="Times New Roman" w:cs="Times New Roman"/>
          <w:bCs/>
          <w:sz w:val="24"/>
          <w:szCs w:val="24"/>
        </w:rPr>
      </w:pPr>
      <w:r w:rsidRPr="00D55D07">
        <w:rPr>
          <w:rFonts w:ascii="Times New Roman" w:hAnsi="Times New Roman" w:cs="Times New Roman"/>
          <w:b/>
          <w:sz w:val="24"/>
          <w:szCs w:val="24"/>
        </w:rPr>
        <w:t>8 U.S.C.A. § 1802(a) (West 2025): [OBBBA]</w:t>
      </w:r>
      <w:r>
        <w:rPr>
          <w:rFonts w:ascii="Times New Roman" w:hAnsi="Times New Roman" w:cs="Times New Roman"/>
          <w:bCs/>
          <w:sz w:val="24"/>
          <w:szCs w:val="24"/>
        </w:rPr>
        <w:t xml:space="preserve"> “In addition to any other fee authorized by law, . . . the Attorney General . . . shall require the payment of a fee, equal to the amount specified in this section, by any alien who files an application for asylum under section 1158 of this title at the time such application is filed.”</w:t>
      </w:r>
    </w:p>
    <w:p w14:paraId="757D6C59" w14:textId="289031C8" w:rsidR="00C81C1C" w:rsidRDefault="00C81C1C" w:rsidP="00D55D07">
      <w:pPr>
        <w:pStyle w:val="ListParagraph"/>
        <w:numPr>
          <w:ilvl w:val="0"/>
          <w:numId w:val="5"/>
        </w:numPr>
        <w:spacing w:after="0"/>
        <w:rPr>
          <w:rFonts w:ascii="Times New Roman" w:hAnsi="Times New Roman" w:cs="Times New Roman"/>
          <w:bCs/>
          <w:sz w:val="24"/>
          <w:szCs w:val="24"/>
        </w:rPr>
      </w:pPr>
      <w:r w:rsidRPr="00D55D07">
        <w:rPr>
          <w:rFonts w:ascii="Times New Roman" w:hAnsi="Times New Roman" w:cs="Times New Roman"/>
          <w:b/>
          <w:sz w:val="24"/>
          <w:szCs w:val="24"/>
        </w:rPr>
        <w:lastRenderedPageBreak/>
        <w:t>8 U.S.C.A. § 180</w:t>
      </w:r>
      <w:r>
        <w:rPr>
          <w:rFonts w:ascii="Times New Roman" w:hAnsi="Times New Roman" w:cs="Times New Roman"/>
          <w:b/>
          <w:sz w:val="24"/>
          <w:szCs w:val="24"/>
        </w:rPr>
        <w:t>8</w:t>
      </w:r>
      <w:r w:rsidRPr="00D55D07">
        <w:rPr>
          <w:rFonts w:ascii="Times New Roman" w:hAnsi="Times New Roman" w:cs="Times New Roman"/>
          <w:b/>
          <w:sz w:val="24"/>
          <w:szCs w:val="24"/>
        </w:rPr>
        <w:t>(a) (West 2025): [OBBBA]</w:t>
      </w:r>
      <w:r>
        <w:rPr>
          <w:rFonts w:ascii="Times New Roman" w:hAnsi="Times New Roman" w:cs="Times New Roman"/>
          <w:bCs/>
          <w:sz w:val="24"/>
          <w:szCs w:val="24"/>
        </w:rPr>
        <w:t xml:space="preserve"> “In addition to any other fee authorized by law, for each calendar year that an alien’s application for asylum remains pending . . . the Attorney General . . . shall require the payment of a fee, equal to the amount specified in subsection (b), by such alien.” </w:t>
      </w:r>
    </w:p>
    <w:p w14:paraId="03F993A1" w14:textId="7A5597E1" w:rsidR="00D55D07" w:rsidRDefault="00D55D07" w:rsidP="00D55D07">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
          <w:sz w:val="24"/>
          <w:szCs w:val="24"/>
        </w:rPr>
        <w:t>INA § 208 / 8 U.S.C. § 1158 (2024):</w:t>
      </w:r>
      <w:r>
        <w:rPr>
          <w:rFonts w:ascii="Times New Roman" w:hAnsi="Times New Roman" w:cs="Times New Roman"/>
          <w:bCs/>
          <w:sz w:val="24"/>
          <w:szCs w:val="24"/>
        </w:rPr>
        <w:t xml:space="preserve"> asylum statute</w:t>
      </w:r>
    </w:p>
    <w:p w14:paraId="19CAB02D" w14:textId="1F78B3A3" w:rsidR="00C81C1C" w:rsidRDefault="00C81C1C" w:rsidP="00C81C1C">
      <w:pPr>
        <w:pStyle w:val="ListParagraph"/>
        <w:numPr>
          <w:ilvl w:val="1"/>
          <w:numId w:val="5"/>
        </w:numPr>
        <w:spacing w:after="0"/>
        <w:rPr>
          <w:rFonts w:ascii="Times New Roman" w:hAnsi="Times New Roman" w:cs="Times New Roman"/>
          <w:bCs/>
          <w:sz w:val="24"/>
          <w:szCs w:val="24"/>
        </w:rPr>
      </w:pPr>
      <w:r>
        <w:rPr>
          <w:rFonts w:ascii="Times New Roman" w:hAnsi="Times New Roman" w:cs="Times New Roman"/>
          <w:b/>
          <w:sz w:val="24"/>
          <w:szCs w:val="24"/>
        </w:rPr>
        <w:t>INA § 208(a)(2)(B), 8 U.S.C. § 1158(a)(2)(B):</w:t>
      </w:r>
      <w:r>
        <w:rPr>
          <w:rFonts w:ascii="Times New Roman" w:hAnsi="Times New Roman" w:cs="Times New Roman"/>
          <w:bCs/>
          <w:sz w:val="24"/>
          <w:szCs w:val="24"/>
        </w:rPr>
        <w:t xml:space="preserve"> 1-year filing requirement for asylum</w:t>
      </w:r>
    </w:p>
    <w:p w14:paraId="5B6ED608" w14:textId="00223C5E" w:rsidR="00C81C1C" w:rsidRDefault="00C81C1C" w:rsidP="00C81C1C">
      <w:pPr>
        <w:pStyle w:val="ListParagraph"/>
        <w:numPr>
          <w:ilvl w:val="1"/>
          <w:numId w:val="5"/>
        </w:numPr>
        <w:spacing w:after="0"/>
        <w:rPr>
          <w:rFonts w:ascii="Times New Roman" w:hAnsi="Times New Roman" w:cs="Times New Roman"/>
          <w:bCs/>
          <w:sz w:val="24"/>
          <w:szCs w:val="24"/>
        </w:rPr>
      </w:pPr>
      <w:r>
        <w:rPr>
          <w:rFonts w:ascii="Times New Roman" w:hAnsi="Times New Roman" w:cs="Times New Roman"/>
          <w:b/>
          <w:sz w:val="24"/>
          <w:szCs w:val="24"/>
        </w:rPr>
        <w:t>INA § 208(b)(2)(B)(</w:t>
      </w:r>
      <w:proofErr w:type="spellStart"/>
      <w:r>
        <w:rPr>
          <w:rFonts w:ascii="Times New Roman" w:hAnsi="Times New Roman" w:cs="Times New Roman"/>
          <w:b/>
          <w:sz w:val="24"/>
          <w:szCs w:val="24"/>
        </w:rPr>
        <w:t>i</w:t>
      </w:r>
      <w:proofErr w:type="spellEnd"/>
      <w:r>
        <w:rPr>
          <w:rFonts w:ascii="Times New Roman" w:hAnsi="Times New Roman" w:cs="Times New Roman"/>
          <w:b/>
          <w:sz w:val="24"/>
          <w:szCs w:val="24"/>
        </w:rPr>
        <w:t>), 8 U.S.C. § 1158(b)(2)(B)(</w:t>
      </w:r>
      <w:proofErr w:type="spellStart"/>
      <w:r>
        <w:rPr>
          <w:rFonts w:ascii="Times New Roman" w:hAnsi="Times New Roman" w:cs="Times New Roman"/>
          <w:b/>
          <w:sz w:val="24"/>
          <w:szCs w:val="24"/>
        </w:rPr>
        <w:t>i</w:t>
      </w:r>
      <w:proofErr w:type="spellEnd"/>
      <w:r>
        <w:rPr>
          <w:rFonts w:ascii="Times New Roman" w:hAnsi="Times New Roman" w:cs="Times New Roman"/>
          <w:b/>
          <w:sz w:val="24"/>
          <w:szCs w:val="24"/>
        </w:rPr>
        <w:t>):</w:t>
      </w:r>
      <w:r>
        <w:rPr>
          <w:rFonts w:ascii="Times New Roman" w:hAnsi="Times New Roman" w:cs="Times New Roman"/>
          <w:bCs/>
          <w:sz w:val="24"/>
          <w:szCs w:val="24"/>
        </w:rPr>
        <w:t xml:space="preserve"> all aggravated felonies are per se particularly serious crimes for asylum</w:t>
      </w:r>
    </w:p>
    <w:p w14:paraId="6BD863E5" w14:textId="420D0BE8" w:rsidR="00C81C1C" w:rsidRDefault="00C81C1C" w:rsidP="00D55D07">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
          <w:sz w:val="24"/>
          <w:szCs w:val="24"/>
        </w:rPr>
        <w:t>INA § 212(l)(2), 8 U.S.C. § 1182(l)(2)</w:t>
      </w:r>
      <w:r>
        <w:rPr>
          <w:rFonts w:ascii="Times New Roman" w:hAnsi="Times New Roman" w:cs="Times New Roman"/>
          <w:bCs/>
          <w:sz w:val="24"/>
          <w:szCs w:val="24"/>
        </w:rPr>
        <w:t>: discussing application for withholding of removal OR application for asylum in the context of the Guam and Northern Mariana Islands visa waiver program.</w:t>
      </w:r>
    </w:p>
    <w:p w14:paraId="5260A985" w14:textId="23985950" w:rsidR="00D55D07" w:rsidRDefault="00D55D07" w:rsidP="00D55D07">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
          <w:sz w:val="24"/>
          <w:szCs w:val="24"/>
        </w:rPr>
        <w:t>INA § 241(b)(3) / 8 U.</w:t>
      </w:r>
      <w:r w:rsidRPr="00D55D07">
        <w:rPr>
          <w:rFonts w:ascii="Times New Roman" w:hAnsi="Times New Roman" w:cs="Times New Roman"/>
          <w:b/>
          <w:sz w:val="24"/>
          <w:szCs w:val="24"/>
        </w:rPr>
        <w:t>S.C. § 1231(b)(</w:t>
      </w:r>
      <w:proofErr w:type="gramStart"/>
      <w:r w:rsidRPr="00D55D07">
        <w:rPr>
          <w:rFonts w:ascii="Times New Roman" w:hAnsi="Times New Roman" w:cs="Times New Roman"/>
          <w:b/>
          <w:sz w:val="24"/>
          <w:szCs w:val="24"/>
        </w:rPr>
        <w:t>3)(</w:t>
      </w:r>
      <w:proofErr w:type="gramEnd"/>
      <w:r w:rsidRPr="00D55D07">
        <w:rPr>
          <w:rFonts w:ascii="Times New Roman" w:hAnsi="Times New Roman" w:cs="Times New Roman"/>
          <w:b/>
          <w:sz w:val="24"/>
          <w:szCs w:val="24"/>
        </w:rPr>
        <w:t>2024):</w:t>
      </w:r>
      <w:r>
        <w:rPr>
          <w:rFonts w:ascii="Times New Roman" w:hAnsi="Times New Roman" w:cs="Times New Roman"/>
          <w:bCs/>
          <w:sz w:val="24"/>
          <w:szCs w:val="24"/>
        </w:rPr>
        <w:t xml:space="preserve"> Withholding of removal statute</w:t>
      </w:r>
    </w:p>
    <w:p w14:paraId="5352E419" w14:textId="4FCEB679" w:rsidR="00C81C1C" w:rsidRDefault="00C81C1C" w:rsidP="00C81C1C">
      <w:pPr>
        <w:pStyle w:val="ListParagraph"/>
        <w:numPr>
          <w:ilvl w:val="1"/>
          <w:numId w:val="5"/>
        </w:numPr>
        <w:spacing w:after="0"/>
        <w:rPr>
          <w:rFonts w:ascii="Times New Roman" w:hAnsi="Times New Roman" w:cs="Times New Roman"/>
          <w:bCs/>
          <w:sz w:val="24"/>
          <w:szCs w:val="24"/>
        </w:rPr>
      </w:pPr>
      <w:r>
        <w:rPr>
          <w:rFonts w:ascii="Times New Roman" w:hAnsi="Times New Roman" w:cs="Times New Roman"/>
          <w:b/>
          <w:sz w:val="24"/>
          <w:szCs w:val="24"/>
        </w:rPr>
        <w:t>INA § 241(b)(3)(B), 8 U.S.C. § 1231(b)(3)(B):</w:t>
      </w:r>
      <w:r>
        <w:rPr>
          <w:rFonts w:ascii="Times New Roman" w:hAnsi="Times New Roman" w:cs="Times New Roman"/>
          <w:bCs/>
          <w:sz w:val="24"/>
          <w:szCs w:val="24"/>
        </w:rPr>
        <w:t xml:space="preserve"> an </w:t>
      </w:r>
      <w:proofErr w:type="spellStart"/>
      <w:r>
        <w:rPr>
          <w:rFonts w:ascii="Times New Roman" w:hAnsi="Times New Roman" w:cs="Times New Roman"/>
          <w:bCs/>
          <w:sz w:val="24"/>
          <w:szCs w:val="24"/>
        </w:rPr>
        <w:t>agg</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fel</w:t>
      </w:r>
      <w:proofErr w:type="spellEnd"/>
      <w:r>
        <w:rPr>
          <w:rFonts w:ascii="Times New Roman" w:hAnsi="Times New Roman" w:cs="Times New Roman"/>
          <w:bCs/>
          <w:sz w:val="24"/>
          <w:szCs w:val="24"/>
        </w:rPr>
        <w:t xml:space="preserve"> is a per se particularly serious crime for withholding of removal if the respondent was sentenced to an aggregate term of imprisonment of at least 5 years.</w:t>
      </w:r>
    </w:p>
    <w:p w14:paraId="7263BB98" w14:textId="21398D55" w:rsidR="00D55D07" w:rsidRDefault="00D55D07" w:rsidP="00D55D07">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
          <w:sz w:val="24"/>
          <w:szCs w:val="24"/>
        </w:rPr>
        <w:t>8 C.F.R. §§ 1208.16(c), 1208.17 (2026); 8 C.F.R. § 1208.18(a</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2020):</w:t>
      </w:r>
      <w:r>
        <w:rPr>
          <w:rFonts w:ascii="Times New Roman" w:hAnsi="Times New Roman" w:cs="Times New Roman"/>
          <w:bCs/>
          <w:sz w:val="24"/>
          <w:szCs w:val="24"/>
        </w:rPr>
        <w:t xml:space="preserve"> CAT regulations</w:t>
      </w:r>
    </w:p>
    <w:p w14:paraId="5B91589C" w14:textId="1A6A89BA" w:rsidR="00D55D07" w:rsidRPr="00D55D07" w:rsidRDefault="00D55D07" w:rsidP="00D55D07">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
          <w:sz w:val="24"/>
          <w:szCs w:val="24"/>
        </w:rPr>
        <w:t>8 C.F.R. § 1003.24(d):</w:t>
      </w:r>
      <w:r>
        <w:rPr>
          <w:rFonts w:ascii="Times New Roman" w:hAnsi="Times New Roman" w:cs="Times New Roman"/>
          <w:bCs/>
          <w:sz w:val="24"/>
          <w:szCs w:val="24"/>
        </w:rPr>
        <w:t xml:space="preserve"> new regs pertaining to fees for </w:t>
      </w:r>
      <w:proofErr w:type="spellStart"/>
      <w:r>
        <w:rPr>
          <w:rFonts w:ascii="Times New Roman" w:hAnsi="Times New Roman" w:cs="Times New Roman"/>
          <w:bCs/>
          <w:sz w:val="24"/>
          <w:szCs w:val="24"/>
        </w:rPr>
        <w:t>asilos</w:t>
      </w:r>
      <w:proofErr w:type="spellEnd"/>
    </w:p>
    <w:p w14:paraId="6A6AE673" w14:textId="07517737" w:rsidR="00D55D07" w:rsidRDefault="00D55D07" w:rsidP="00D55D07">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
          <w:sz w:val="24"/>
          <w:szCs w:val="24"/>
        </w:rPr>
        <w:t xml:space="preserve">8 C.F.R. § 1103.7(b)(4)(iii): </w:t>
      </w:r>
      <w:r>
        <w:rPr>
          <w:rFonts w:ascii="Times New Roman" w:hAnsi="Times New Roman" w:cs="Times New Roman"/>
          <w:bCs/>
          <w:sz w:val="24"/>
          <w:szCs w:val="24"/>
        </w:rPr>
        <w:t xml:space="preserve">new regs pertaining to fees for </w:t>
      </w:r>
      <w:proofErr w:type="spellStart"/>
      <w:r>
        <w:rPr>
          <w:rFonts w:ascii="Times New Roman" w:hAnsi="Times New Roman" w:cs="Times New Roman"/>
          <w:bCs/>
          <w:sz w:val="24"/>
          <w:szCs w:val="24"/>
        </w:rPr>
        <w:t>asilos</w:t>
      </w:r>
      <w:proofErr w:type="spellEnd"/>
    </w:p>
    <w:p w14:paraId="22C5B92C" w14:textId="3C40E6AC" w:rsidR="00C81C1C" w:rsidRDefault="00C81C1C" w:rsidP="00D55D07">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
          <w:sz w:val="24"/>
          <w:szCs w:val="24"/>
        </w:rPr>
        <w:t xml:space="preserve">8 C.F.R. § 1208.1(a)(1) (2020): </w:t>
      </w:r>
      <w:r>
        <w:rPr>
          <w:rFonts w:ascii="Times New Roman" w:hAnsi="Times New Roman" w:cs="Times New Roman"/>
          <w:bCs/>
          <w:sz w:val="24"/>
          <w:szCs w:val="24"/>
        </w:rPr>
        <w:t>“application for asylum” applies to “all applications for asylum under section 208 of the Act or for withholding of deportation or withholding of removal under section 241(b)(3) of the Act, or under the Convention Against Torture, whether before an asylum officer or an immigration judge, regardless of the date of filing.”</w:t>
      </w:r>
      <w:r>
        <w:rPr>
          <w:rFonts w:ascii="Times New Roman" w:hAnsi="Times New Roman" w:cs="Times New Roman"/>
          <w:bCs/>
          <w:sz w:val="24"/>
          <w:szCs w:val="24"/>
        </w:rPr>
        <w:tab/>
        <w:t xml:space="preserve"> 790</w:t>
      </w:r>
    </w:p>
    <w:p w14:paraId="077B8E21" w14:textId="14282184" w:rsidR="00C81C1C" w:rsidRDefault="00C81C1C" w:rsidP="00D55D07">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
          <w:sz w:val="24"/>
          <w:szCs w:val="24"/>
        </w:rPr>
        <w:t>8 C.F.R. § 1208.1(a)(2) (2020):</w:t>
      </w:r>
      <w:r>
        <w:rPr>
          <w:rFonts w:ascii="Times New Roman" w:hAnsi="Times New Roman" w:cs="Times New Roman"/>
          <w:bCs/>
          <w:sz w:val="24"/>
          <w:szCs w:val="24"/>
        </w:rPr>
        <w:t xml:space="preserve"> prohibits the filing of an “application for asylum” by any alien physically present in or arriving in the Commonwealth of the Northern Mariana Islands.</w:t>
      </w:r>
    </w:p>
    <w:p w14:paraId="5B4A22C9" w14:textId="6796493E" w:rsidR="00C81C1C" w:rsidRPr="00D55D07" w:rsidRDefault="00C81C1C" w:rsidP="00D55D07">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
          <w:sz w:val="24"/>
          <w:szCs w:val="24"/>
        </w:rPr>
        <w:t>8 C.F.R. § 1208.3(b) (2026):</w:t>
      </w:r>
      <w:r>
        <w:rPr>
          <w:rFonts w:ascii="Times New Roman" w:hAnsi="Times New Roman" w:cs="Times New Roman"/>
          <w:bCs/>
          <w:sz w:val="24"/>
          <w:szCs w:val="24"/>
        </w:rPr>
        <w:t xml:space="preserve"> “An asylum application shall be deemed to constitute at the same time an application for withholding of removal.”</w:t>
      </w:r>
    </w:p>
    <w:p w14:paraId="56B4ED26" w14:textId="20CF49AE" w:rsidR="00D55D07" w:rsidRDefault="00D55D07" w:rsidP="00D55D07">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
          <w:sz w:val="24"/>
          <w:szCs w:val="24"/>
        </w:rPr>
        <w:t>8 C.F.R. § 1208.3(a)(</w:t>
      </w:r>
      <w:proofErr w:type="gramStart"/>
      <w:r>
        <w:rPr>
          <w:rFonts w:ascii="Times New Roman" w:hAnsi="Times New Roman" w:cs="Times New Roman"/>
          <w:b/>
          <w:sz w:val="24"/>
          <w:szCs w:val="24"/>
        </w:rPr>
        <w:t>1)(</w:t>
      </w:r>
      <w:proofErr w:type="gramEnd"/>
      <w:r>
        <w:rPr>
          <w:rFonts w:ascii="Times New Roman" w:hAnsi="Times New Roman" w:cs="Times New Roman"/>
          <w:b/>
          <w:sz w:val="24"/>
          <w:szCs w:val="24"/>
        </w:rPr>
        <w:t>2026):</w:t>
      </w:r>
      <w:r>
        <w:rPr>
          <w:rFonts w:ascii="Times New Roman" w:hAnsi="Times New Roman" w:cs="Times New Roman"/>
          <w:bCs/>
          <w:sz w:val="24"/>
          <w:szCs w:val="24"/>
        </w:rPr>
        <w:t xml:space="preserve"> </w:t>
      </w:r>
      <w:r w:rsidR="00C81C1C">
        <w:rPr>
          <w:rFonts w:ascii="Times New Roman" w:hAnsi="Times New Roman" w:cs="Times New Roman"/>
          <w:bCs/>
          <w:sz w:val="24"/>
          <w:szCs w:val="24"/>
        </w:rPr>
        <w:t xml:space="preserve">“A single application, Form I-589, is the means to apply for asylum, withholding of removal, and protection under the CAT.” </w:t>
      </w:r>
      <w:r w:rsidR="00C81C1C">
        <w:rPr>
          <w:rFonts w:ascii="Times New Roman" w:hAnsi="Times New Roman" w:cs="Times New Roman"/>
          <w:bCs/>
          <w:sz w:val="24"/>
          <w:szCs w:val="24"/>
        </w:rPr>
        <w:tab/>
        <w:t>790</w:t>
      </w:r>
    </w:p>
    <w:p w14:paraId="63AE809D" w14:textId="1C894771" w:rsidR="00C81C1C" w:rsidRPr="00D55D07" w:rsidRDefault="00C81C1C" w:rsidP="00D55D07">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
          <w:sz w:val="24"/>
          <w:szCs w:val="24"/>
        </w:rPr>
        <w:t>8 C.F.R. § 1208.31(a), (c), (e) (20206)</w:t>
      </w:r>
      <w:r>
        <w:rPr>
          <w:rFonts w:ascii="Times New Roman" w:hAnsi="Times New Roman" w:cs="Times New Roman"/>
          <w:bCs/>
          <w:sz w:val="24"/>
          <w:szCs w:val="24"/>
        </w:rPr>
        <w:t xml:space="preserve">: AAF does not apply when filing ONLY withholding of removal or CAT protection, as in RFIs. </w:t>
      </w:r>
      <w:r>
        <w:rPr>
          <w:rFonts w:ascii="Times New Roman" w:hAnsi="Times New Roman" w:cs="Times New Roman"/>
          <w:bCs/>
          <w:sz w:val="24"/>
          <w:szCs w:val="24"/>
        </w:rPr>
        <w:tab/>
      </w:r>
      <w:r>
        <w:rPr>
          <w:rFonts w:ascii="Times New Roman" w:hAnsi="Times New Roman" w:cs="Times New Roman"/>
          <w:bCs/>
          <w:sz w:val="24"/>
          <w:szCs w:val="24"/>
        </w:rPr>
        <w:tab/>
        <w:t>(See 791)</w:t>
      </w:r>
    </w:p>
    <w:p w14:paraId="1FF16ABF" w14:textId="0082EE9D" w:rsidR="00D55D07" w:rsidRPr="00E50348" w:rsidRDefault="00C81C1C" w:rsidP="00E50348">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
          <w:sz w:val="24"/>
          <w:szCs w:val="24"/>
        </w:rPr>
        <w:t>8 C.F.R. § 1003.31(h):</w:t>
      </w:r>
      <w:r>
        <w:rPr>
          <w:rFonts w:ascii="Times New Roman" w:hAnsi="Times New Roman" w:cs="Times New Roman"/>
          <w:bCs/>
          <w:sz w:val="24"/>
          <w:szCs w:val="24"/>
        </w:rPr>
        <w:t xml:space="preserve"> IJs may set filing deadlines.</w:t>
      </w:r>
    </w:p>
    <w:p w14:paraId="05E28C76" w14:textId="77777777" w:rsidR="00D55D07" w:rsidRDefault="00D55D07" w:rsidP="00D55D07">
      <w:pPr>
        <w:spacing w:after="0"/>
        <w:rPr>
          <w:rFonts w:ascii="Times New Roman" w:hAnsi="Times New Roman" w:cs="Times New Roman"/>
          <w:b/>
          <w:sz w:val="24"/>
          <w:szCs w:val="24"/>
        </w:rPr>
      </w:pPr>
    </w:p>
    <w:p w14:paraId="70F6B231" w14:textId="06EC974D" w:rsidR="00077658" w:rsidRDefault="00D55D07" w:rsidP="00D55D07">
      <w:pPr>
        <w:spacing w:after="0"/>
        <w:rPr>
          <w:rFonts w:ascii="Times New Roman" w:hAnsi="Times New Roman" w:cs="Times New Roman"/>
          <w:b/>
          <w:sz w:val="24"/>
          <w:szCs w:val="24"/>
        </w:rPr>
      </w:pPr>
      <w:r>
        <w:rPr>
          <w:rFonts w:ascii="Times New Roman" w:hAnsi="Times New Roman" w:cs="Times New Roman"/>
          <w:b/>
          <w:sz w:val="24"/>
          <w:szCs w:val="24"/>
        </w:rPr>
        <w:t>Relevant Case Law</w:t>
      </w:r>
      <w:r w:rsidR="00077658" w:rsidRPr="003E0FF6">
        <w:rPr>
          <w:rFonts w:ascii="Times New Roman" w:hAnsi="Times New Roman" w:cs="Times New Roman"/>
          <w:b/>
          <w:sz w:val="24"/>
          <w:szCs w:val="24"/>
        </w:rPr>
        <w:t>:</w:t>
      </w:r>
    </w:p>
    <w:p w14:paraId="4396A3CD" w14:textId="42B5E238" w:rsidR="00C81C1C" w:rsidRPr="00C81C1C" w:rsidRDefault="00C81C1C" w:rsidP="00C81C1C">
      <w:pPr>
        <w:pStyle w:val="ListParagraph"/>
        <w:numPr>
          <w:ilvl w:val="0"/>
          <w:numId w:val="5"/>
        </w:numPr>
        <w:spacing w:after="0"/>
        <w:rPr>
          <w:rFonts w:ascii="Times New Roman" w:hAnsi="Times New Roman" w:cs="Times New Roman"/>
          <w:b/>
          <w:sz w:val="24"/>
          <w:szCs w:val="24"/>
        </w:rPr>
      </w:pPr>
      <w:r>
        <w:rPr>
          <w:rFonts w:ascii="Times New Roman" w:hAnsi="Times New Roman" w:cs="Times New Roman"/>
          <w:b/>
          <w:i/>
          <w:iCs/>
          <w:sz w:val="24"/>
          <w:szCs w:val="24"/>
        </w:rPr>
        <w:t>Matter of R-C-R-</w:t>
      </w:r>
      <w:r>
        <w:rPr>
          <w:rFonts w:ascii="Times New Roman" w:hAnsi="Times New Roman" w:cs="Times New Roman"/>
          <w:b/>
          <w:sz w:val="24"/>
          <w:szCs w:val="24"/>
        </w:rPr>
        <w:t>, 28 I&amp;N Dec. 74, 77 (BIA 2020):</w:t>
      </w:r>
      <w:r>
        <w:rPr>
          <w:rFonts w:ascii="Times New Roman" w:hAnsi="Times New Roman" w:cs="Times New Roman"/>
          <w:bCs/>
          <w:sz w:val="24"/>
          <w:szCs w:val="24"/>
        </w:rPr>
        <w:t xml:space="preserve"> IJs have authority to set filing deadlines</w:t>
      </w:r>
    </w:p>
    <w:p w14:paraId="60710BB1" w14:textId="714A357A" w:rsidR="00C81C1C" w:rsidRPr="00C81C1C" w:rsidRDefault="00C81C1C" w:rsidP="00C81C1C">
      <w:pPr>
        <w:pStyle w:val="ListParagraph"/>
        <w:numPr>
          <w:ilvl w:val="0"/>
          <w:numId w:val="5"/>
        </w:numPr>
        <w:spacing w:after="0"/>
        <w:rPr>
          <w:rFonts w:ascii="Times New Roman" w:hAnsi="Times New Roman" w:cs="Times New Roman"/>
          <w:b/>
          <w:sz w:val="24"/>
          <w:szCs w:val="24"/>
        </w:rPr>
      </w:pPr>
      <w:r>
        <w:rPr>
          <w:rFonts w:ascii="Times New Roman" w:hAnsi="Times New Roman" w:cs="Times New Roman"/>
          <w:b/>
          <w:i/>
          <w:iCs/>
          <w:sz w:val="24"/>
          <w:szCs w:val="24"/>
        </w:rPr>
        <w:t>Matter of Interiano-Rosa</w:t>
      </w:r>
      <w:r>
        <w:rPr>
          <w:rFonts w:ascii="Times New Roman" w:hAnsi="Times New Roman" w:cs="Times New Roman"/>
          <w:b/>
          <w:sz w:val="24"/>
          <w:szCs w:val="24"/>
        </w:rPr>
        <w:t>, 25 I&amp;N Dec. 264, 265 (BIA 2010):</w:t>
      </w:r>
      <w:r>
        <w:rPr>
          <w:rFonts w:ascii="Times New Roman" w:hAnsi="Times New Roman" w:cs="Times New Roman"/>
          <w:bCs/>
          <w:sz w:val="24"/>
          <w:szCs w:val="24"/>
        </w:rPr>
        <w:t xml:space="preserve"> same ^^^</w:t>
      </w:r>
    </w:p>
    <w:p w14:paraId="7D5A6431" w14:textId="6CD1394D" w:rsidR="00C81C1C" w:rsidRPr="00C81C1C" w:rsidRDefault="00C81C1C" w:rsidP="00C81C1C">
      <w:pPr>
        <w:pStyle w:val="ListParagraph"/>
        <w:numPr>
          <w:ilvl w:val="0"/>
          <w:numId w:val="5"/>
        </w:numPr>
        <w:spacing w:after="0"/>
        <w:rPr>
          <w:rFonts w:ascii="Times New Roman" w:hAnsi="Times New Roman" w:cs="Times New Roman"/>
          <w:b/>
          <w:sz w:val="24"/>
          <w:szCs w:val="24"/>
        </w:rPr>
      </w:pPr>
      <w:r>
        <w:rPr>
          <w:rFonts w:ascii="Times New Roman" w:hAnsi="Times New Roman" w:cs="Times New Roman"/>
          <w:b/>
          <w:i/>
          <w:iCs/>
          <w:sz w:val="24"/>
          <w:szCs w:val="24"/>
        </w:rPr>
        <w:lastRenderedPageBreak/>
        <w:t>Jimenez v. Quarterman</w:t>
      </w:r>
      <w:r>
        <w:rPr>
          <w:rFonts w:ascii="Times New Roman" w:hAnsi="Times New Roman" w:cs="Times New Roman"/>
          <w:b/>
          <w:sz w:val="24"/>
          <w:szCs w:val="24"/>
        </w:rPr>
        <w:t>, 555 U.S. 113, 118 (2009):</w:t>
      </w:r>
      <w:r>
        <w:rPr>
          <w:rFonts w:ascii="Times New Roman" w:hAnsi="Times New Roman" w:cs="Times New Roman"/>
          <w:bCs/>
          <w:sz w:val="24"/>
          <w:szCs w:val="24"/>
        </w:rPr>
        <w:t xml:space="preserve"> “As with any question of statutory interpretation, our analysis begins with the plain language of the statute.”</w:t>
      </w:r>
    </w:p>
    <w:p w14:paraId="174FE27F" w14:textId="029BBB41" w:rsidR="00C81C1C" w:rsidRPr="00C81C1C" w:rsidRDefault="00C81C1C" w:rsidP="00C81C1C">
      <w:pPr>
        <w:pStyle w:val="ListParagraph"/>
        <w:numPr>
          <w:ilvl w:val="0"/>
          <w:numId w:val="5"/>
        </w:numPr>
        <w:spacing w:after="0"/>
        <w:rPr>
          <w:rFonts w:ascii="Times New Roman" w:hAnsi="Times New Roman" w:cs="Times New Roman"/>
          <w:b/>
          <w:sz w:val="24"/>
          <w:szCs w:val="24"/>
        </w:rPr>
      </w:pPr>
      <w:r>
        <w:rPr>
          <w:rFonts w:ascii="Times New Roman" w:hAnsi="Times New Roman" w:cs="Times New Roman"/>
          <w:b/>
          <w:i/>
          <w:iCs/>
          <w:sz w:val="24"/>
          <w:szCs w:val="24"/>
        </w:rPr>
        <w:t xml:space="preserve">Matter of </w:t>
      </w:r>
      <w:proofErr w:type="spellStart"/>
      <w:r>
        <w:rPr>
          <w:rFonts w:ascii="Times New Roman" w:hAnsi="Times New Roman" w:cs="Times New Roman"/>
          <w:b/>
          <w:i/>
          <w:iCs/>
          <w:sz w:val="24"/>
          <w:szCs w:val="24"/>
        </w:rPr>
        <w:t>Negusie</w:t>
      </w:r>
      <w:proofErr w:type="spellEnd"/>
      <w:r>
        <w:rPr>
          <w:rFonts w:ascii="Times New Roman" w:hAnsi="Times New Roman" w:cs="Times New Roman"/>
          <w:b/>
          <w:sz w:val="24"/>
          <w:szCs w:val="24"/>
        </w:rPr>
        <w:t>, 28 I&amp;N Dec. 120, 126 (A.G. 2020):</w:t>
      </w:r>
      <w:r>
        <w:rPr>
          <w:rFonts w:ascii="Times New Roman" w:hAnsi="Times New Roman" w:cs="Times New Roman"/>
          <w:bCs/>
          <w:sz w:val="24"/>
          <w:szCs w:val="24"/>
        </w:rPr>
        <w:t xml:space="preserve"> “The Supreme Court has repeatedly cautioned against reading words, element, or implied exceptions into a statute.”</w:t>
      </w:r>
    </w:p>
    <w:p w14:paraId="4F583ACA" w14:textId="008292A4" w:rsidR="00C81C1C" w:rsidRDefault="00C81C1C" w:rsidP="00C81C1C">
      <w:pPr>
        <w:pStyle w:val="ListParagraph"/>
        <w:numPr>
          <w:ilvl w:val="1"/>
          <w:numId w:val="5"/>
        </w:numPr>
        <w:spacing w:after="0"/>
        <w:rPr>
          <w:rFonts w:ascii="Times New Roman" w:hAnsi="Times New Roman" w:cs="Times New Roman"/>
          <w:b/>
          <w:sz w:val="24"/>
          <w:szCs w:val="24"/>
        </w:rPr>
      </w:pPr>
      <w:r>
        <w:rPr>
          <w:rFonts w:ascii="Times New Roman" w:hAnsi="Times New Roman" w:cs="Times New Roman"/>
          <w:b/>
          <w:i/>
          <w:iCs/>
          <w:sz w:val="24"/>
          <w:szCs w:val="24"/>
        </w:rPr>
        <w:t>Dean v. United States</w:t>
      </w:r>
      <w:r>
        <w:rPr>
          <w:rFonts w:ascii="Times New Roman" w:hAnsi="Times New Roman" w:cs="Times New Roman"/>
          <w:b/>
          <w:sz w:val="24"/>
          <w:szCs w:val="24"/>
        </w:rPr>
        <w:t>, 556 U.S. 568, 572 (2009)</w:t>
      </w:r>
    </w:p>
    <w:p w14:paraId="399501B8" w14:textId="39C1EC26" w:rsidR="00C81C1C" w:rsidRDefault="00C81C1C" w:rsidP="00C81C1C">
      <w:pPr>
        <w:pStyle w:val="ListParagraph"/>
        <w:numPr>
          <w:ilvl w:val="1"/>
          <w:numId w:val="5"/>
        </w:numPr>
        <w:spacing w:after="0"/>
        <w:rPr>
          <w:rFonts w:ascii="Times New Roman" w:hAnsi="Times New Roman" w:cs="Times New Roman"/>
          <w:b/>
          <w:sz w:val="24"/>
          <w:szCs w:val="24"/>
        </w:rPr>
      </w:pPr>
      <w:r>
        <w:rPr>
          <w:rFonts w:ascii="Times New Roman" w:hAnsi="Times New Roman" w:cs="Times New Roman"/>
          <w:b/>
          <w:i/>
          <w:iCs/>
          <w:sz w:val="24"/>
          <w:szCs w:val="24"/>
        </w:rPr>
        <w:t>Bates v. United States</w:t>
      </w:r>
      <w:r>
        <w:rPr>
          <w:rFonts w:ascii="Times New Roman" w:hAnsi="Times New Roman" w:cs="Times New Roman"/>
          <w:b/>
          <w:sz w:val="24"/>
          <w:szCs w:val="24"/>
        </w:rPr>
        <w:t>, 522 U.S. 23, 29 (1997)</w:t>
      </w:r>
    </w:p>
    <w:p w14:paraId="3E7F27D3" w14:textId="4E4D1B3F" w:rsidR="00C81C1C" w:rsidRPr="00C81C1C" w:rsidRDefault="00C81C1C" w:rsidP="00C81C1C">
      <w:pPr>
        <w:pStyle w:val="ListParagraph"/>
        <w:numPr>
          <w:ilvl w:val="0"/>
          <w:numId w:val="5"/>
        </w:numPr>
        <w:spacing w:after="0"/>
        <w:rPr>
          <w:rFonts w:ascii="Times New Roman" w:hAnsi="Times New Roman" w:cs="Times New Roman"/>
          <w:b/>
          <w:sz w:val="24"/>
          <w:szCs w:val="24"/>
        </w:rPr>
      </w:pPr>
      <w:r>
        <w:rPr>
          <w:rFonts w:ascii="Times New Roman" w:hAnsi="Times New Roman" w:cs="Times New Roman"/>
          <w:b/>
          <w:i/>
          <w:iCs/>
          <w:sz w:val="24"/>
          <w:szCs w:val="24"/>
        </w:rPr>
        <w:t>Russello v. U.S.</w:t>
      </w:r>
      <w:r>
        <w:rPr>
          <w:rFonts w:ascii="Times New Roman" w:hAnsi="Times New Roman" w:cs="Times New Roman"/>
          <w:b/>
          <w:sz w:val="24"/>
          <w:szCs w:val="24"/>
        </w:rPr>
        <w:t>, 464 U.S. 16, 23 (1983):</w:t>
      </w:r>
      <w:r>
        <w:rPr>
          <w:rFonts w:ascii="Times New Roman" w:hAnsi="Times New Roman" w:cs="Times New Roman"/>
          <w:bCs/>
          <w:sz w:val="24"/>
          <w:szCs w:val="24"/>
        </w:rPr>
        <w:t xml:space="preserve"> “Where Congress includes particular language in one section of a statute but omits it in another section of the same Act, it is generally presumed that Congress acts intentionally and purposely in the disparate inclusion or exclusion.”</w:t>
      </w:r>
      <w:r>
        <w:rPr>
          <w:rFonts w:ascii="Times New Roman" w:hAnsi="Times New Roman" w:cs="Times New Roman"/>
          <w:bCs/>
          <w:sz w:val="24"/>
          <w:szCs w:val="24"/>
        </w:rPr>
        <w:tab/>
      </w:r>
      <w:r>
        <w:rPr>
          <w:rFonts w:ascii="Times New Roman" w:hAnsi="Times New Roman" w:cs="Times New Roman"/>
          <w:bCs/>
          <w:sz w:val="24"/>
          <w:szCs w:val="24"/>
        </w:rPr>
        <w:tab/>
        <w:t>791 (citation modified)</w:t>
      </w:r>
    </w:p>
    <w:p w14:paraId="3932AB1B" w14:textId="00EDEE6A" w:rsidR="00C81C1C" w:rsidRPr="00C81C1C" w:rsidRDefault="00C81C1C" w:rsidP="00C81C1C">
      <w:pPr>
        <w:pStyle w:val="ListParagraph"/>
        <w:numPr>
          <w:ilvl w:val="0"/>
          <w:numId w:val="5"/>
        </w:numPr>
        <w:spacing w:after="0"/>
        <w:rPr>
          <w:rFonts w:ascii="Times New Roman" w:hAnsi="Times New Roman" w:cs="Times New Roman"/>
          <w:b/>
          <w:sz w:val="24"/>
          <w:szCs w:val="24"/>
        </w:rPr>
      </w:pPr>
      <w:r>
        <w:rPr>
          <w:rFonts w:ascii="Times New Roman" w:hAnsi="Times New Roman" w:cs="Times New Roman"/>
          <w:b/>
          <w:i/>
          <w:iCs/>
          <w:sz w:val="24"/>
          <w:szCs w:val="24"/>
        </w:rPr>
        <w:t>Efe v. Ashcroft</w:t>
      </w:r>
      <w:r>
        <w:rPr>
          <w:rFonts w:ascii="Times New Roman" w:hAnsi="Times New Roman" w:cs="Times New Roman"/>
          <w:b/>
          <w:sz w:val="24"/>
          <w:szCs w:val="24"/>
        </w:rPr>
        <w:t>, 293 F.3d 899, 907 (5</w:t>
      </w:r>
      <w:r w:rsidRPr="00C81C1C">
        <w:rPr>
          <w:rFonts w:ascii="Times New Roman" w:hAnsi="Times New Roman" w:cs="Times New Roman"/>
          <w:b/>
          <w:sz w:val="24"/>
          <w:szCs w:val="24"/>
          <w:vertAlign w:val="superscript"/>
        </w:rPr>
        <w:t>th</w:t>
      </w:r>
      <w:r>
        <w:rPr>
          <w:rFonts w:ascii="Times New Roman" w:hAnsi="Times New Roman" w:cs="Times New Roman"/>
          <w:b/>
          <w:sz w:val="24"/>
          <w:szCs w:val="24"/>
        </w:rPr>
        <w:t xml:space="preserve"> Cir. 2002):</w:t>
      </w:r>
      <w:r>
        <w:rPr>
          <w:rFonts w:ascii="Times New Roman" w:hAnsi="Times New Roman" w:cs="Times New Roman"/>
          <w:bCs/>
          <w:sz w:val="24"/>
          <w:szCs w:val="24"/>
        </w:rPr>
        <w:t xml:space="preserve"> “A claim for protection under the CAT also requires ‘separate analytical attention’ from asylum and statutory withholding of removal claims.”</w:t>
      </w:r>
      <w:r>
        <w:rPr>
          <w:rFonts w:ascii="Times New Roman" w:hAnsi="Times New Roman" w:cs="Times New Roman"/>
          <w:bCs/>
          <w:sz w:val="24"/>
          <w:szCs w:val="24"/>
        </w:rPr>
        <w:tab/>
        <w:t>792</w:t>
      </w:r>
    </w:p>
    <w:p w14:paraId="338017CF" w14:textId="08421651" w:rsidR="00C81C1C" w:rsidRPr="00C81C1C" w:rsidRDefault="00C81C1C" w:rsidP="00C81C1C">
      <w:pPr>
        <w:pStyle w:val="ListParagraph"/>
        <w:numPr>
          <w:ilvl w:val="0"/>
          <w:numId w:val="5"/>
        </w:numPr>
        <w:spacing w:after="0"/>
        <w:rPr>
          <w:rFonts w:ascii="Times New Roman" w:hAnsi="Times New Roman" w:cs="Times New Roman"/>
          <w:b/>
          <w:sz w:val="24"/>
          <w:szCs w:val="24"/>
        </w:rPr>
      </w:pPr>
      <w:r>
        <w:rPr>
          <w:rFonts w:ascii="Times New Roman" w:hAnsi="Times New Roman" w:cs="Times New Roman"/>
          <w:b/>
          <w:i/>
          <w:iCs/>
          <w:sz w:val="24"/>
          <w:szCs w:val="24"/>
        </w:rPr>
        <w:t>United States v. Temple</w:t>
      </w:r>
      <w:r>
        <w:rPr>
          <w:rFonts w:ascii="Times New Roman" w:hAnsi="Times New Roman" w:cs="Times New Roman"/>
          <w:b/>
          <w:sz w:val="24"/>
          <w:szCs w:val="24"/>
        </w:rPr>
        <w:t>, 105 U.S. 97, 99 (1881):</w:t>
      </w:r>
      <w:r>
        <w:rPr>
          <w:rFonts w:ascii="Times New Roman" w:hAnsi="Times New Roman" w:cs="Times New Roman"/>
          <w:bCs/>
          <w:sz w:val="24"/>
          <w:szCs w:val="24"/>
        </w:rPr>
        <w:t xml:space="preserve"> “we have no right to insert words and phrases, so as to incorporate in the statute a new and distinct provision.”</w:t>
      </w:r>
      <w:r>
        <w:rPr>
          <w:rFonts w:ascii="Times New Roman" w:hAnsi="Times New Roman" w:cs="Times New Roman"/>
          <w:bCs/>
          <w:sz w:val="24"/>
          <w:szCs w:val="24"/>
        </w:rPr>
        <w:tab/>
        <w:t>(q. at 792)</w:t>
      </w:r>
    </w:p>
    <w:p w14:paraId="431EF5B7" w14:textId="77777777" w:rsidR="00077658" w:rsidRPr="003E0FF6" w:rsidRDefault="00077658" w:rsidP="00D55D07">
      <w:pPr>
        <w:spacing w:after="0"/>
        <w:rPr>
          <w:rFonts w:ascii="Times New Roman" w:hAnsi="Times New Roman" w:cs="Times New Roman"/>
          <w:b/>
          <w:sz w:val="24"/>
          <w:szCs w:val="24"/>
        </w:rPr>
      </w:pPr>
    </w:p>
    <w:p w14:paraId="15C54753" w14:textId="77777777" w:rsidR="00077658" w:rsidRDefault="00077658" w:rsidP="00D55D07">
      <w:pPr>
        <w:spacing w:after="0"/>
        <w:rPr>
          <w:rFonts w:ascii="Times New Roman" w:hAnsi="Times New Roman" w:cs="Times New Roman"/>
          <w:bCs/>
          <w:sz w:val="24"/>
          <w:szCs w:val="24"/>
        </w:rPr>
      </w:pPr>
      <w:r w:rsidRPr="003E0FF6">
        <w:rPr>
          <w:rFonts w:ascii="Times New Roman" w:hAnsi="Times New Roman" w:cs="Times New Roman"/>
          <w:b/>
          <w:sz w:val="24"/>
          <w:szCs w:val="24"/>
        </w:rPr>
        <w:t>Relevant U.S. History:</w:t>
      </w:r>
    </w:p>
    <w:p w14:paraId="7D7BE128" w14:textId="168C0CB5" w:rsidR="00D55D07" w:rsidRDefault="00D55D07" w:rsidP="00D55D07">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Cs/>
          <w:sz w:val="24"/>
          <w:szCs w:val="24"/>
        </w:rPr>
        <w:t xml:space="preserve">July 4, </w:t>
      </w:r>
      <w:proofErr w:type="gramStart"/>
      <w:r>
        <w:rPr>
          <w:rFonts w:ascii="Times New Roman" w:hAnsi="Times New Roman" w:cs="Times New Roman"/>
          <w:bCs/>
          <w:sz w:val="24"/>
          <w:szCs w:val="24"/>
        </w:rPr>
        <w:t>2025</w:t>
      </w:r>
      <w:proofErr w:type="gramEnd"/>
      <w:r>
        <w:rPr>
          <w:rFonts w:ascii="Times New Roman" w:hAnsi="Times New Roman" w:cs="Times New Roman"/>
          <w:bCs/>
          <w:sz w:val="24"/>
          <w:szCs w:val="24"/>
        </w:rPr>
        <w:t xml:space="preserve"> = One Big Beautiful Bill Act (“OBBBA”), Pub. L. No. 119-21, §§ 100001-100018, 139 Stat. 72, 364-85 (2025). Codified at 8 U.S.C.A. § 1808 (West 2025).</w:t>
      </w:r>
    </w:p>
    <w:p w14:paraId="2BFC5956" w14:textId="5C98F749" w:rsidR="00C81C1C" w:rsidRDefault="00C81C1C" w:rsidP="00D55D07">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Cs/>
          <w:sz w:val="24"/>
          <w:szCs w:val="24"/>
        </w:rPr>
        <w:t xml:space="preserve">“The statutory command [to pay the </w:t>
      </w:r>
      <w:proofErr w:type="spellStart"/>
      <w:r>
        <w:rPr>
          <w:rFonts w:ascii="Times New Roman" w:hAnsi="Times New Roman" w:cs="Times New Roman"/>
          <w:bCs/>
          <w:sz w:val="24"/>
          <w:szCs w:val="24"/>
        </w:rPr>
        <w:t>asilo</w:t>
      </w:r>
      <w:proofErr w:type="spellEnd"/>
      <w:r>
        <w:rPr>
          <w:rFonts w:ascii="Times New Roman" w:hAnsi="Times New Roman" w:cs="Times New Roman"/>
          <w:bCs/>
          <w:sz w:val="24"/>
          <w:szCs w:val="24"/>
        </w:rPr>
        <w:t xml:space="preserve"> fee(s)] adds a new requirement for asylum eligibility.”</w:t>
      </w:r>
      <w:r>
        <w:rPr>
          <w:rFonts w:ascii="Times New Roman" w:hAnsi="Times New Roman" w:cs="Times New Roman"/>
          <w:bCs/>
          <w:sz w:val="24"/>
          <w:szCs w:val="24"/>
        </w:rPr>
        <w:tab/>
        <w:t>789</w:t>
      </w:r>
    </w:p>
    <w:p w14:paraId="628A2F32" w14:textId="2EBC6F05" w:rsidR="00C81C1C" w:rsidRPr="00D55D07" w:rsidRDefault="00C81C1C" w:rsidP="00D55D07">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Cs/>
          <w:sz w:val="24"/>
          <w:szCs w:val="24"/>
        </w:rPr>
        <w:t>“. . . the OBBA does not distinguish between proceedings in Immigration Court and proceedings before this Board.”</w:t>
      </w:r>
      <w:r>
        <w:rPr>
          <w:rFonts w:ascii="Times New Roman" w:hAnsi="Times New Roman" w:cs="Times New Roman"/>
          <w:bCs/>
          <w:sz w:val="24"/>
          <w:szCs w:val="24"/>
        </w:rPr>
        <w:tab/>
        <w:t xml:space="preserve"> 789 (IOW, BIA can also set AAF deadlines.)</w:t>
      </w:r>
    </w:p>
    <w:p w14:paraId="4C4DE676" w14:textId="77777777" w:rsidR="00077658" w:rsidRPr="003E0FF6" w:rsidRDefault="00077658" w:rsidP="00D55D07">
      <w:pPr>
        <w:spacing w:after="0"/>
        <w:rPr>
          <w:rFonts w:ascii="Times New Roman" w:hAnsi="Times New Roman" w:cs="Times New Roman"/>
          <w:b/>
          <w:sz w:val="24"/>
          <w:szCs w:val="24"/>
        </w:rPr>
      </w:pPr>
    </w:p>
    <w:p w14:paraId="638F1641" w14:textId="4CD391C4" w:rsidR="00077658" w:rsidRPr="003E0FF6" w:rsidRDefault="00257700" w:rsidP="00D55D07">
      <w:pPr>
        <w:spacing w:after="0"/>
        <w:rPr>
          <w:rFonts w:ascii="Times New Roman" w:hAnsi="Times New Roman" w:cs="Times New Roman"/>
          <w:b/>
          <w:sz w:val="24"/>
          <w:szCs w:val="24"/>
        </w:rPr>
      </w:pPr>
      <w:r>
        <w:rPr>
          <w:rFonts w:ascii="Times New Roman" w:hAnsi="Times New Roman" w:cs="Times New Roman"/>
          <w:b/>
          <w:sz w:val="24"/>
          <w:szCs w:val="24"/>
        </w:rPr>
        <w:t>Discussion</w:t>
      </w:r>
      <w:r w:rsidR="00077658" w:rsidRPr="003E0FF6">
        <w:rPr>
          <w:rFonts w:ascii="Times New Roman" w:hAnsi="Times New Roman" w:cs="Times New Roman"/>
          <w:b/>
          <w:sz w:val="24"/>
          <w:szCs w:val="24"/>
        </w:rPr>
        <w:t>:</w:t>
      </w:r>
    </w:p>
    <w:p w14:paraId="0355B035" w14:textId="51D472EA" w:rsidR="00077658" w:rsidRDefault="00C81C1C" w:rsidP="00C81C1C">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Cs/>
          <w:sz w:val="24"/>
          <w:szCs w:val="24"/>
        </w:rPr>
        <w:t xml:space="preserve">“After considering these issues in detail, and as analyzed further below, we hold that the annual asylum fee is a statutorily required fee and the failure to pay the annual asylum fee is fatal to an alien’s asylum claim. But, consistent with the plain language of the OBBBA, the annual asylum fee and consequences for not paying it do not extend to an application for statutory withholding of removal or a request for protection under the CAT.” </w:t>
      </w:r>
      <w:r>
        <w:rPr>
          <w:rFonts w:ascii="Times New Roman" w:hAnsi="Times New Roman" w:cs="Times New Roman"/>
          <w:bCs/>
          <w:sz w:val="24"/>
          <w:szCs w:val="24"/>
        </w:rPr>
        <w:tab/>
        <w:t>788</w:t>
      </w:r>
    </w:p>
    <w:p w14:paraId="1611DAEF" w14:textId="77777777" w:rsidR="00C81C1C" w:rsidRDefault="00C81C1C" w:rsidP="00C81C1C">
      <w:pPr>
        <w:pStyle w:val="ListParagraph"/>
        <w:spacing w:after="0"/>
        <w:rPr>
          <w:rFonts w:ascii="Times New Roman" w:hAnsi="Times New Roman" w:cs="Times New Roman"/>
          <w:bCs/>
          <w:sz w:val="24"/>
          <w:szCs w:val="24"/>
        </w:rPr>
      </w:pPr>
    </w:p>
    <w:p w14:paraId="5F3CC653" w14:textId="39B866F8" w:rsidR="00C81C1C" w:rsidRDefault="00C81C1C" w:rsidP="00C81C1C">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Cs/>
          <w:sz w:val="24"/>
          <w:szCs w:val="24"/>
        </w:rPr>
        <w:t>“Immigration Judges can set deadlines for paying the annual asylum fee, and, if an alien fails to pay the annual asylum fee within the prescribed deadline, the alien’s asylum application should be pretermitted or deemed abandoned.”</w:t>
      </w:r>
      <w:r>
        <w:rPr>
          <w:rFonts w:ascii="Times New Roman" w:hAnsi="Times New Roman" w:cs="Times New Roman"/>
          <w:bCs/>
          <w:sz w:val="24"/>
          <w:szCs w:val="24"/>
        </w:rPr>
        <w:tab/>
      </w:r>
      <w:r>
        <w:rPr>
          <w:rFonts w:ascii="Times New Roman" w:hAnsi="Times New Roman" w:cs="Times New Roman"/>
          <w:bCs/>
          <w:sz w:val="24"/>
          <w:szCs w:val="24"/>
        </w:rPr>
        <w:tab/>
        <w:t>789</w:t>
      </w:r>
    </w:p>
    <w:p w14:paraId="42E8F1BE" w14:textId="77777777" w:rsidR="00C81C1C" w:rsidRPr="00C81C1C" w:rsidRDefault="00C81C1C" w:rsidP="00C81C1C">
      <w:pPr>
        <w:pStyle w:val="ListParagraph"/>
        <w:rPr>
          <w:rFonts w:ascii="Times New Roman" w:hAnsi="Times New Roman" w:cs="Times New Roman"/>
          <w:bCs/>
          <w:sz w:val="24"/>
          <w:szCs w:val="24"/>
        </w:rPr>
      </w:pPr>
    </w:p>
    <w:p w14:paraId="022E3D0E" w14:textId="128BFD04" w:rsidR="00C81C1C" w:rsidRDefault="00C81C1C" w:rsidP="00C81C1C">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Cs/>
          <w:sz w:val="24"/>
          <w:szCs w:val="24"/>
        </w:rPr>
        <w:t>“The OBBBA’s discussion of fees does not anywhere mention statutory withholding of removal, which is set forth in section 241(b)(3) of the INA, 8 U.S.C. § 1231(b)(3), an entirely different section of the INA; nor does it mention the regulations implementing the CAT.”</w:t>
      </w:r>
      <w:r>
        <w:rPr>
          <w:rFonts w:ascii="Times New Roman" w:hAnsi="Times New Roman" w:cs="Times New Roman"/>
          <w:bCs/>
          <w:sz w:val="24"/>
          <w:szCs w:val="24"/>
        </w:rPr>
        <w:tab/>
        <w:t>791</w:t>
      </w:r>
    </w:p>
    <w:p w14:paraId="2BB2E1F4" w14:textId="77777777" w:rsidR="00C81C1C" w:rsidRPr="00C81C1C" w:rsidRDefault="00C81C1C" w:rsidP="00C81C1C">
      <w:pPr>
        <w:pStyle w:val="ListParagraph"/>
        <w:rPr>
          <w:rFonts w:ascii="Times New Roman" w:hAnsi="Times New Roman" w:cs="Times New Roman"/>
          <w:bCs/>
          <w:sz w:val="24"/>
          <w:szCs w:val="24"/>
        </w:rPr>
      </w:pPr>
    </w:p>
    <w:p w14:paraId="486A28FA" w14:textId="1C0A327A" w:rsidR="00C81C1C" w:rsidRDefault="00C81C1C" w:rsidP="00C81C1C">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Cs/>
          <w:sz w:val="24"/>
          <w:szCs w:val="24"/>
        </w:rPr>
        <w:t>“While DHS’ argument about the regulatory definition of ‘asylum application’ has persuasive force, it does not sufficiently establish that the plain language of the OBBBA necessarily includes statutory withholding of removal and protection under the CAT.”</w:t>
      </w:r>
      <w:r>
        <w:rPr>
          <w:rFonts w:ascii="Times New Roman" w:hAnsi="Times New Roman" w:cs="Times New Roman"/>
          <w:bCs/>
          <w:sz w:val="24"/>
          <w:szCs w:val="24"/>
        </w:rPr>
        <w:tab/>
        <w:t>791</w:t>
      </w:r>
    </w:p>
    <w:p w14:paraId="3ECEEA94" w14:textId="77777777" w:rsidR="00C81C1C" w:rsidRPr="00C81C1C" w:rsidRDefault="00C81C1C" w:rsidP="00C81C1C">
      <w:pPr>
        <w:pStyle w:val="ListParagraph"/>
        <w:rPr>
          <w:rFonts w:ascii="Times New Roman" w:hAnsi="Times New Roman" w:cs="Times New Roman"/>
          <w:bCs/>
          <w:sz w:val="24"/>
          <w:szCs w:val="24"/>
        </w:rPr>
      </w:pPr>
    </w:p>
    <w:p w14:paraId="77DEF0F5" w14:textId="7B3475D6" w:rsidR="00C81C1C" w:rsidRDefault="00C81C1C" w:rsidP="00C81C1C">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Cs/>
          <w:sz w:val="24"/>
          <w:szCs w:val="24"/>
        </w:rPr>
        <w:t>“Congress thus can choose to mention applications for asylum, withholding of removal, and CAT claims, but did not otherwise do so in the OBBBA.”</w:t>
      </w:r>
      <w:r>
        <w:rPr>
          <w:rFonts w:ascii="Times New Roman" w:hAnsi="Times New Roman" w:cs="Times New Roman"/>
          <w:bCs/>
          <w:sz w:val="24"/>
          <w:szCs w:val="24"/>
        </w:rPr>
        <w:tab/>
        <w:t>791</w:t>
      </w:r>
    </w:p>
    <w:p w14:paraId="30238845" w14:textId="77777777" w:rsidR="00C81C1C" w:rsidRPr="00C81C1C" w:rsidRDefault="00C81C1C" w:rsidP="00C81C1C">
      <w:pPr>
        <w:pStyle w:val="ListParagraph"/>
        <w:rPr>
          <w:rFonts w:ascii="Times New Roman" w:hAnsi="Times New Roman" w:cs="Times New Roman"/>
          <w:bCs/>
          <w:sz w:val="24"/>
          <w:szCs w:val="24"/>
        </w:rPr>
      </w:pPr>
    </w:p>
    <w:p w14:paraId="2B86F9F2" w14:textId="082D1CD5" w:rsidR="00C81C1C" w:rsidRPr="00C81C1C" w:rsidRDefault="00C81C1C" w:rsidP="00C81C1C">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Cs/>
          <w:sz w:val="24"/>
          <w:szCs w:val="24"/>
        </w:rPr>
        <w:t>Note that Asylum &amp; Withholding of Removal have different eligibility requirements: (792)</w:t>
      </w:r>
    </w:p>
    <w:p w14:paraId="1516ECCC" w14:textId="77559E44" w:rsidR="00C81C1C" w:rsidRDefault="00C81C1C" w:rsidP="00C81C1C">
      <w:pPr>
        <w:pStyle w:val="ListParagraph"/>
        <w:numPr>
          <w:ilvl w:val="1"/>
          <w:numId w:val="5"/>
        </w:numPr>
        <w:spacing w:after="0"/>
        <w:rPr>
          <w:rFonts w:ascii="Times New Roman" w:hAnsi="Times New Roman" w:cs="Times New Roman"/>
          <w:bCs/>
          <w:sz w:val="24"/>
          <w:szCs w:val="24"/>
        </w:rPr>
      </w:pPr>
      <w:r>
        <w:rPr>
          <w:rFonts w:ascii="Times New Roman" w:hAnsi="Times New Roman" w:cs="Times New Roman"/>
          <w:bCs/>
          <w:sz w:val="24"/>
          <w:szCs w:val="24"/>
        </w:rPr>
        <w:t>Asylum is discretionary; WH is mandatory</w:t>
      </w:r>
    </w:p>
    <w:p w14:paraId="2EB1E769" w14:textId="74BDAA98" w:rsidR="00C81C1C" w:rsidRDefault="00C81C1C" w:rsidP="00C81C1C">
      <w:pPr>
        <w:pStyle w:val="ListParagraph"/>
        <w:numPr>
          <w:ilvl w:val="1"/>
          <w:numId w:val="5"/>
        </w:numPr>
        <w:spacing w:after="0"/>
        <w:rPr>
          <w:rFonts w:ascii="Times New Roman" w:hAnsi="Times New Roman" w:cs="Times New Roman"/>
          <w:bCs/>
          <w:sz w:val="24"/>
          <w:szCs w:val="24"/>
        </w:rPr>
      </w:pPr>
      <w:r>
        <w:rPr>
          <w:rFonts w:ascii="Times New Roman" w:hAnsi="Times New Roman" w:cs="Times New Roman"/>
          <w:bCs/>
          <w:sz w:val="24"/>
          <w:szCs w:val="24"/>
        </w:rPr>
        <w:t>Asylum has a 1-year deadline, WH does not</w:t>
      </w:r>
    </w:p>
    <w:p w14:paraId="4A9D16CB" w14:textId="078F16B3" w:rsidR="00C81C1C" w:rsidRDefault="00C81C1C" w:rsidP="00C81C1C">
      <w:pPr>
        <w:pStyle w:val="ListParagraph"/>
        <w:numPr>
          <w:ilvl w:val="1"/>
          <w:numId w:val="5"/>
        </w:numPr>
        <w:spacing w:after="0"/>
        <w:rPr>
          <w:rFonts w:ascii="Times New Roman" w:hAnsi="Times New Roman" w:cs="Times New Roman"/>
          <w:bCs/>
          <w:sz w:val="24"/>
          <w:szCs w:val="24"/>
        </w:rPr>
      </w:pPr>
      <w:r>
        <w:rPr>
          <w:rFonts w:ascii="Times New Roman" w:hAnsi="Times New Roman" w:cs="Times New Roman"/>
          <w:bCs/>
          <w:sz w:val="24"/>
          <w:szCs w:val="24"/>
        </w:rPr>
        <w:t xml:space="preserve">Asylum counts ag </w:t>
      </w:r>
      <w:proofErr w:type="spellStart"/>
      <w:r>
        <w:rPr>
          <w:rFonts w:ascii="Times New Roman" w:hAnsi="Times New Roman" w:cs="Times New Roman"/>
          <w:bCs/>
          <w:sz w:val="24"/>
          <w:szCs w:val="24"/>
        </w:rPr>
        <w:t>fels</w:t>
      </w:r>
      <w:proofErr w:type="spellEnd"/>
      <w:r>
        <w:rPr>
          <w:rFonts w:ascii="Times New Roman" w:hAnsi="Times New Roman" w:cs="Times New Roman"/>
          <w:bCs/>
          <w:sz w:val="24"/>
          <w:szCs w:val="24"/>
        </w:rPr>
        <w:t xml:space="preserve"> as per se PSCs; WH only counts them if R was sentenced to an aggregate term of imprisonment of at least 5 years</w:t>
      </w:r>
    </w:p>
    <w:p w14:paraId="26DCC3DF" w14:textId="4E57424A" w:rsidR="00C81C1C" w:rsidRDefault="00C81C1C" w:rsidP="00C81C1C">
      <w:pPr>
        <w:pStyle w:val="ListParagraph"/>
        <w:numPr>
          <w:ilvl w:val="0"/>
          <w:numId w:val="5"/>
        </w:numPr>
        <w:spacing w:after="0"/>
        <w:rPr>
          <w:rFonts w:ascii="Times New Roman" w:hAnsi="Times New Roman" w:cs="Times New Roman"/>
          <w:bCs/>
          <w:sz w:val="24"/>
          <w:szCs w:val="24"/>
        </w:rPr>
      </w:pPr>
      <w:r>
        <w:rPr>
          <w:rFonts w:ascii="Times New Roman" w:hAnsi="Times New Roman" w:cs="Times New Roman"/>
          <w:bCs/>
          <w:sz w:val="24"/>
          <w:szCs w:val="24"/>
        </w:rPr>
        <w:t>“Ultimately, while DHS’ reliance on the regulatory definition of ‘asylum application’ might very well result in a sound and coherent policy, that construction is not so well-settled that it overcomes the plain language of the OBBBA.”</w:t>
      </w:r>
      <w:r>
        <w:rPr>
          <w:rFonts w:ascii="Times New Roman" w:hAnsi="Times New Roman" w:cs="Times New Roman"/>
          <w:bCs/>
          <w:sz w:val="24"/>
          <w:szCs w:val="24"/>
        </w:rPr>
        <w:tab/>
        <w:t>792</w:t>
      </w:r>
    </w:p>
    <w:p w14:paraId="17F2CCA8" w14:textId="07066DE9" w:rsidR="00C81C1C" w:rsidRPr="00C81C1C" w:rsidRDefault="00C81C1C" w:rsidP="00C81C1C">
      <w:pPr>
        <w:pStyle w:val="ListParagraph"/>
        <w:numPr>
          <w:ilvl w:val="1"/>
          <w:numId w:val="5"/>
        </w:numPr>
        <w:spacing w:after="0"/>
        <w:rPr>
          <w:rFonts w:ascii="Times New Roman" w:hAnsi="Times New Roman" w:cs="Times New Roman"/>
          <w:bCs/>
          <w:sz w:val="24"/>
          <w:szCs w:val="24"/>
        </w:rPr>
      </w:pPr>
      <w:r>
        <w:rPr>
          <w:rFonts w:ascii="Times New Roman" w:hAnsi="Times New Roman" w:cs="Times New Roman"/>
          <w:bCs/>
          <w:sz w:val="24"/>
          <w:szCs w:val="24"/>
        </w:rPr>
        <w:t>But note the CYA footnote</w:t>
      </w:r>
      <w:proofErr w:type="gramStart"/>
      <w:r>
        <w:rPr>
          <w:rFonts w:ascii="Times New Roman" w:hAnsi="Times New Roman" w:cs="Times New Roman"/>
          <w:bCs/>
          <w:sz w:val="24"/>
          <w:szCs w:val="24"/>
        </w:rPr>
        <w:t>—“</w:t>
      </w:r>
      <w:proofErr w:type="gramEnd"/>
      <w:r>
        <w:rPr>
          <w:rFonts w:ascii="Times New Roman" w:hAnsi="Times New Roman" w:cs="Times New Roman"/>
          <w:bCs/>
          <w:sz w:val="24"/>
          <w:szCs w:val="24"/>
        </w:rPr>
        <w:t>We do not view the OBBBA as somehow negating the comprehensive regulatory framework noted by DHS.”</w:t>
      </w:r>
      <w:r>
        <w:rPr>
          <w:rFonts w:ascii="Times New Roman" w:hAnsi="Times New Roman" w:cs="Times New Roman"/>
          <w:bCs/>
          <w:sz w:val="24"/>
          <w:szCs w:val="24"/>
        </w:rPr>
        <w:tab/>
        <w:t>792 n.8</w:t>
      </w:r>
    </w:p>
    <w:p w14:paraId="589D61B1" w14:textId="77777777" w:rsidR="00C81C1C" w:rsidRPr="00C81C1C" w:rsidRDefault="00C81C1C" w:rsidP="00C81C1C">
      <w:pPr>
        <w:spacing w:after="0"/>
        <w:rPr>
          <w:rFonts w:ascii="Times New Roman" w:hAnsi="Times New Roman" w:cs="Times New Roman"/>
          <w:bCs/>
          <w:sz w:val="24"/>
          <w:szCs w:val="24"/>
        </w:rPr>
      </w:pPr>
    </w:p>
    <w:p w14:paraId="095586A6" w14:textId="77777777" w:rsidR="00077658" w:rsidRDefault="00077658" w:rsidP="00D55D07">
      <w:pPr>
        <w:spacing w:after="0"/>
        <w:rPr>
          <w:rFonts w:ascii="Times New Roman" w:hAnsi="Times New Roman" w:cs="Times New Roman"/>
          <w:b/>
          <w:sz w:val="24"/>
          <w:szCs w:val="24"/>
        </w:rPr>
      </w:pPr>
      <w:r w:rsidRPr="003E0FF6">
        <w:rPr>
          <w:rFonts w:ascii="Times New Roman" w:hAnsi="Times New Roman" w:cs="Times New Roman"/>
          <w:b/>
          <w:sz w:val="24"/>
          <w:szCs w:val="24"/>
        </w:rPr>
        <w:t>Commentary:</w:t>
      </w:r>
    </w:p>
    <w:p w14:paraId="121D9873" w14:textId="5F081179" w:rsidR="00C81C1C" w:rsidRPr="00C81C1C" w:rsidRDefault="00C81C1C" w:rsidP="00C81C1C">
      <w:pPr>
        <w:pStyle w:val="ListParagraph"/>
        <w:numPr>
          <w:ilvl w:val="0"/>
          <w:numId w:val="5"/>
        </w:numPr>
        <w:spacing w:after="0"/>
        <w:rPr>
          <w:rFonts w:ascii="Times New Roman" w:hAnsi="Times New Roman" w:cs="Times New Roman"/>
          <w:b/>
          <w:sz w:val="24"/>
          <w:szCs w:val="24"/>
        </w:rPr>
      </w:pPr>
      <w:r>
        <w:rPr>
          <w:rFonts w:ascii="Times New Roman" w:hAnsi="Times New Roman" w:cs="Times New Roman"/>
          <w:bCs/>
          <w:sz w:val="24"/>
          <w:szCs w:val="24"/>
        </w:rPr>
        <w:t>BIA sides with respondent and amici:</w:t>
      </w:r>
    </w:p>
    <w:p w14:paraId="4F8E0BE9" w14:textId="31D62097" w:rsidR="00C81C1C" w:rsidRPr="00C81C1C" w:rsidRDefault="00C81C1C" w:rsidP="00C81C1C">
      <w:pPr>
        <w:pStyle w:val="ListParagraph"/>
        <w:numPr>
          <w:ilvl w:val="1"/>
          <w:numId w:val="5"/>
        </w:numPr>
        <w:spacing w:after="0"/>
        <w:rPr>
          <w:rFonts w:ascii="Times New Roman" w:hAnsi="Times New Roman" w:cs="Times New Roman"/>
          <w:b/>
          <w:sz w:val="24"/>
          <w:szCs w:val="24"/>
        </w:rPr>
      </w:pPr>
      <w:r>
        <w:rPr>
          <w:rFonts w:ascii="Times New Roman" w:hAnsi="Times New Roman" w:cs="Times New Roman"/>
          <w:bCs/>
          <w:sz w:val="24"/>
          <w:szCs w:val="24"/>
        </w:rPr>
        <w:t>“According to the respondent and amici, an Immigration Judge cannot pretermit non-asylum forms of protection from removal for failure to pay the asylum fee or annual asylum fee.”</w:t>
      </w:r>
      <w:r>
        <w:rPr>
          <w:rFonts w:ascii="Times New Roman" w:hAnsi="Times New Roman" w:cs="Times New Roman"/>
          <w:bCs/>
          <w:sz w:val="24"/>
          <w:szCs w:val="24"/>
        </w:rPr>
        <w:tab/>
      </w:r>
      <w:r>
        <w:rPr>
          <w:rFonts w:ascii="Times New Roman" w:hAnsi="Times New Roman" w:cs="Times New Roman"/>
          <w:bCs/>
          <w:sz w:val="24"/>
          <w:szCs w:val="24"/>
        </w:rPr>
        <w:tab/>
        <w:t>790</w:t>
      </w:r>
    </w:p>
    <w:p w14:paraId="520C3FBF" w14:textId="6F302AA8" w:rsidR="00C81C1C" w:rsidRPr="00C81C1C" w:rsidRDefault="00C81C1C" w:rsidP="00C81C1C">
      <w:pPr>
        <w:pStyle w:val="ListParagraph"/>
        <w:numPr>
          <w:ilvl w:val="1"/>
          <w:numId w:val="5"/>
        </w:numPr>
        <w:spacing w:after="0"/>
        <w:rPr>
          <w:rFonts w:ascii="Times New Roman" w:hAnsi="Times New Roman" w:cs="Times New Roman"/>
          <w:b/>
          <w:sz w:val="24"/>
          <w:szCs w:val="24"/>
        </w:rPr>
      </w:pPr>
      <w:r>
        <w:rPr>
          <w:rFonts w:ascii="Times New Roman" w:hAnsi="Times New Roman" w:cs="Times New Roman"/>
          <w:bCs/>
          <w:sz w:val="24"/>
          <w:szCs w:val="24"/>
        </w:rPr>
        <w:t>“The respondent’s and amici’s plain language arguments are the clearer reading of the statute.”</w:t>
      </w:r>
      <w:r>
        <w:rPr>
          <w:rFonts w:ascii="Times New Roman" w:hAnsi="Times New Roman" w:cs="Times New Roman"/>
          <w:bCs/>
          <w:sz w:val="24"/>
          <w:szCs w:val="24"/>
        </w:rPr>
        <w:tab/>
      </w:r>
      <w:r>
        <w:rPr>
          <w:rFonts w:ascii="Times New Roman" w:hAnsi="Times New Roman" w:cs="Times New Roman"/>
          <w:bCs/>
          <w:sz w:val="24"/>
          <w:szCs w:val="24"/>
        </w:rPr>
        <w:tab/>
        <w:t>792</w:t>
      </w:r>
    </w:p>
    <w:p w14:paraId="4BD5F38B" w14:textId="24A5F277" w:rsidR="00C81C1C" w:rsidRPr="00C81C1C" w:rsidRDefault="00C81C1C" w:rsidP="00C81C1C">
      <w:pPr>
        <w:pStyle w:val="ListParagraph"/>
        <w:numPr>
          <w:ilvl w:val="0"/>
          <w:numId w:val="5"/>
        </w:numPr>
        <w:spacing w:after="0"/>
        <w:rPr>
          <w:rFonts w:ascii="Times New Roman" w:hAnsi="Times New Roman" w:cs="Times New Roman"/>
          <w:b/>
          <w:sz w:val="24"/>
          <w:szCs w:val="24"/>
        </w:rPr>
      </w:pPr>
      <w:r>
        <w:rPr>
          <w:rFonts w:ascii="Times New Roman" w:hAnsi="Times New Roman" w:cs="Times New Roman"/>
          <w:bCs/>
          <w:sz w:val="24"/>
          <w:szCs w:val="24"/>
        </w:rPr>
        <w:t>DHS wants everyone to suffer the same:</w:t>
      </w:r>
    </w:p>
    <w:p w14:paraId="47B52985" w14:textId="1FD6AB47" w:rsidR="00D55D07" w:rsidRPr="00C81C1C" w:rsidRDefault="00C81C1C" w:rsidP="00D55D07">
      <w:pPr>
        <w:pStyle w:val="ListParagraph"/>
        <w:numPr>
          <w:ilvl w:val="1"/>
          <w:numId w:val="5"/>
        </w:numPr>
        <w:spacing w:after="0"/>
        <w:rPr>
          <w:rFonts w:ascii="Times New Roman" w:hAnsi="Times New Roman" w:cs="Times New Roman"/>
          <w:b/>
          <w:sz w:val="24"/>
          <w:szCs w:val="24"/>
        </w:rPr>
      </w:pPr>
      <w:r>
        <w:rPr>
          <w:rFonts w:ascii="Times New Roman" w:hAnsi="Times New Roman" w:cs="Times New Roman"/>
          <w:bCs/>
          <w:sz w:val="24"/>
          <w:szCs w:val="24"/>
        </w:rPr>
        <w:t>“DHS, by contrast, argues that an alien who requests asylum, statutory withholding of removal, and protection under the CAT must comply with the annual asylum fee requirements to have his or her application for each form of protection considered."</w:t>
      </w:r>
      <w:r>
        <w:rPr>
          <w:rFonts w:ascii="Times New Roman" w:hAnsi="Times New Roman" w:cs="Times New Roman"/>
          <w:bCs/>
          <w:sz w:val="24"/>
          <w:szCs w:val="24"/>
        </w:rPr>
        <w:tab/>
        <w:t>790</w:t>
      </w:r>
    </w:p>
    <w:p w14:paraId="76EB8C2D" w14:textId="77777777" w:rsidR="00D55D07" w:rsidRDefault="00D55D07" w:rsidP="00D55D07">
      <w:pPr>
        <w:spacing w:after="0"/>
        <w:rPr>
          <w:rFonts w:ascii="Times New Roman" w:hAnsi="Times New Roman" w:cs="Times New Roman"/>
          <w:b/>
          <w:sz w:val="24"/>
          <w:szCs w:val="24"/>
        </w:rPr>
      </w:pPr>
    </w:p>
    <w:p w14:paraId="15B2A8B8" w14:textId="539354CB" w:rsidR="00D55D07" w:rsidRPr="00C81C1C" w:rsidRDefault="00D55D07" w:rsidP="00D55D07">
      <w:pPr>
        <w:spacing w:after="0"/>
        <w:rPr>
          <w:rFonts w:ascii="Times New Roman" w:hAnsi="Times New Roman" w:cs="Times New Roman"/>
          <w:bCs/>
          <w:color w:val="C00000"/>
          <w:sz w:val="24"/>
          <w:szCs w:val="24"/>
        </w:rPr>
      </w:pPr>
      <w:r w:rsidRPr="00C81C1C">
        <w:rPr>
          <w:rFonts w:ascii="Times New Roman" w:hAnsi="Times New Roman" w:cs="Times New Roman"/>
          <w:b/>
          <w:color w:val="C00000"/>
          <w:sz w:val="24"/>
          <w:szCs w:val="24"/>
        </w:rPr>
        <w:t>NOTES</w:t>
      </w:r>
      <w:r w:rsidR="00C81C1C" w:rsidRPr="00C81C1C">
        <w:rPr>
          <w:rFonts w:ascii="Times New Roman" w:hAnsi="Times New Roman" w:cs="Times New Roman"/>
          <w:b/>
          <w:color w:val="C00000"/>
          <w:sz w:val="24"/>
          <w:szCs w:val="24"/>
        </w:rPr>
        <w:t xml:space="preserve"> &amp; OBSERVATIONS</w:t>
      </w:r>
      <w:r w:rsidRPr="00C81C1C">
        <w:rPr>
          <w:rFonts w:ascii="Times New Roman" w:hAnsi="Times New Roman" w:cs="Times New Roman"/>
          <w:b/>
          <w:color w:val="C00000"/>
          <w:sz w:val="24"/>
          <w:szCs w:val="24"/>
        </w:rPr>
        <w:t>:</w:t>
      </w:r>
    </w:p>
    <w:p w14:paraId="41438A1E" w14:textId="12C382BA" w:rsidR="00D55D07" w:rsidRPr="00C81C1C" w:rsidRDefault="00D55D07" w:rsidP="00D55D07">
      <w:pPr>
        <w:pStyle w:val="ListParagraph"/>
        <w:numPr>
          <w:ilvl w:val="0"/>
          <w:numId w:val="4"/>
        </w:numPr>
        <w:spacing w:after="0"/>
        <w:rPr>
          <w:rFonts w:ascii="Times New Roman" w:hAnsi="Times New Roman" w:cs="Times New Roman"/>
          <w:bCs/>
          <w:color w:val="C00000"/>
          <w:sz w:val="24"/>
          <w:szCs w:val="24"/>
        </w:rPr>
      </w:pPr>
      <w:r w:rsidRPr="00C81C1C">
        <w:rPr>
          <w:rFonts w:ascii="Times New Roman" w:hAnsi="Times New Roman" w:cs="Times New Roman"/>
          <w:bCs/>
          <w:color w:val="C00000"/>
          <w:sz w:val="24"/>
          <w:szCs w:val="24"/>
        </w:rPr>
        <w:t xml:space="preserve">This is </w:t>
      </w:r>
      <w:proofErr w:type="gramStart"/>
      <w:r w:rsidRPr="00C81C1C">
        <w:rPr>
          <w:rFonts w:ascii="Times New Roman" w:hAnsi="Times New Roman" w:cs="Times New Roman"/>
          <w:bCs/>
          <w:color w:val="C00000"/>
          <w:sz w:val="24"/>
          <w:szCs w:val="24"/>
        </w:rPr>
        <w:t>actually a</w:t>
      </w:r>
      <w:proofErr w:type="gramEnd"/>
      <w:r w:rsidRPr="00C81C1C">
        <w:rPr>
          <w:rFonts w:ascii="Times New Roman" w:hAnsi="Times New Roman" w:cs="Times New Roman"/>
          <w:bCs/>
          <w:color w:val="C00000"/>
          <w:sz w:val="24"/>
          <w:szCs w:val="24"/>
        </w:rPr>
        <w:t xml:space="preserve"> rare case that falls</w:t>
      </w:r>
      <w:r w:rsidR="00E50348">
        <w:rPr>
          <w:rFonts w:ascii="Times New Roman" w:hAnsi="Times New Roman" w:cs="Times New Roman"/>
          <w:bCs/>
          <w:color w:val="C00000"/>
          <w:sz w:val="24"/>
          <w:szCs w:val="24"/>
        </w:rPr>
        <w:t xml:space="preserve"> out</w:t>
      </w:r>
      <w:r w:rsidRPr="00C81C1C">
        <w:rPr>
          <w:rFonts w:ascii="Times New Roman" w:hAnsi="Times New Roman" w:cs="Times New Roman"/>
          <w:bCs/>
          <w:color w:val="C00000"/>
          <w:sz w:val="24"/>
          <w:szCs w:val="24"/>
        </w:rPr>
        <w:t xml:space="preserve"> in favor of the noncitizen respondent: they successfully argued that the AAF does not apply to </w:t>
      </w:r>
      <w:proofErr w:type="gramStart"/>
      <w:r w:rsidRPr="00C81C1C">
        <w:rPr>
          <w:rFonts w:ascii="Times New Roman" w:hAnsi="Times New Roman" w:cs="Times New Roman"/>
          <w:bCs/>
          <w:color w:val="C00000"/>
          <w:sz w:val="24"/>
          <w:szCs w:val="24"/>
        </w:rPr>
        <w:t>withholding of</w:t>
      </w:r>
      <w:proofErr w:type="gramEnd"/>
      <w:r w:rsidRPr="00C81C1C">
        <w:rPr>
          <w:rFonts w:ascii="Times New Roman" w:hAnsi="Times New Roman" w:cs="Times New Roman"/>
          <w:bCs/>
          <w:color w:val="C00000"/>
          <w:sz w:val="24"/>
          <w:szCs w:val="24"/>
        </w:rPr>
        <w:t xml:space="preserve"> removal and CAT, and that pretermission for failure to pay the prescribed AAF is only appropriate for the asylum claim.</w:t>
      </w:r>
    </w:p>
    <w:p w14:paraId="1CB3D10F" w14:textId="41C273B9" w:rsidR="00D55D07" w:rsidRDefault="00D55D07" w:rsidP="00D55D07">
      <w:pPr>
        <w:pStyle w:val="ListParagraph"/>
        <w:numPr>
          <w:ilvl w:val="0"/>
          <w:numId w:val="4"/>
        </w:numPr>
        <w:spacing w:after="0"/>
        <w:rPr>
          <w:rFonts w:ascii="Times New Roman" w:hAnsi="Times New Roman" w:cs="Times New Roman"/>
          <w:bCs/>
          <w:color w:val="C00000"/>
          <w:sz w:val="24"/>
          <w:szCs w:val="24"/>
        </w:rPr>
      </w:pPr>
      <w:r w:rsidRPr="00C81C1C">
        <w:rPr>
          <w:rFonts w:ascii="Times New Roman" w:hAnsi="Times New Roman" w:cs="Times New Roman"/>
          <w:bCs/>
          <w:color w:val="C00000"/>
          <w:sz w:val="24"/>
          <w:szCs w:val="24"/>
        </w:rPr>
        <w:lastRenderedPageBreak/>
        <w:t>It’s also a snapshot of the current Congress’s (or Stephen Miller’s) shortsightedness: “As noted, Congress understands how to reference applications for withholding of removal and protection under the CAT in legislation but did not explicitly include them in the context of the OBBBA.”  (OOPS.)</w:t>
      </w:r>
      <w:r w:rsidRPr="00C81C1C">
        <w:rPr>
          <w:rFonts w:ascii="Times New Roman" w:hAnsi="Times New Roman" w:cs="Times New Roman"/>
          <w:bCs/>
          <w:color w:val="C00000"/>
          <w:sz w:val="24"/>
          <w:szCs w:val="24"/>
        </w:rPr>
        <w:tab/>
        <w:t xml:space="preserve">792 </w:t>
      </w:r>
    </w:p>
    <w:p w14:paraId="2176A9D4" w14:textId="77777777" w:rsidR="00C81C1C" w:rsidRPr="00C81C1C" w:rsidRDefault="00C81C1C" w:rsidP="00C81C1C">
      <w:pPr>
        <w:pStyle w:val="ListParagraph"/>
        <w:spacing w:after="0"/>
        <w:rPr>
          <w:rFonts w:ascii="Times New Roman" w:hAnsi="Times New Roman" w:cs="Times New Roman"/>
          <w:bCs/>
          <w:color w:val="C00000"/>
          <w:sz w:val="24"/>
          <w:szCs w:val="24"/>
        </w:rPr>
      </w:pPr>
    </w:p>
    <w:p w14:paraId="3E2E0A69" w14:textId="13B3B850" w:rsidR="00D55D07" w:rsidRDefault="00D55D07" w:rsidP="00D55D07">
      <w:pPr>
        <w:pStyle w:val="ListParagraph"/>
        <w:numPr>
          <w:ilvl w:val="0"/>
          <w:numId w:val="4"/>
        </w:numPr>
        <w:spacing w:after="0"/>
        <w:rPr>
          <w:rFonts w:ascii="Times New Roman" w:hAnsi="Times New Roman" w:cs="Times New Roman"/>
          <w:bCs/>
          <w:color w:val="C00000"/>
          <w:sz w:val="24"/>
          <w:szCs w:val="24"/>
        </w:rPr>
      </w:pPr>
      <w:r w:rsidRPr="00C81C1C">
        <w:rPr>
          <w:rFonts w:ascii="Times New Roman" w:hAnsi="Times New Roman" w:cs="Times New Roman"/>
          <w:bCs/>
          <w:color w:val="C00000"/>
          <w:sz w:val="24"/>
          <w:szCs w:val="24"/>
        </w:rPr>
        <w:t>This decision also showcases a rare split between DHS and the BIA! They are not apparently entirely in lockstep, at least when Malphrus is not writing the opinion. (But note the CYA footnote on 792.)</w:t>
      </w:r>
    </w:p>
    <w:p w14:paraId="0D5D0D0F" w14:textId="77777777" w:rsidR="00C81C1C" w:rsidRPr="00C81C1C" w:rsidRDefault="00C81C1C" w:rsidP="00C81C1C">
      <w:pPr>
        <w:spacing w:after="0"/>
        <w:rPr>
          <w:rFonts w:ascii="Times New Roman" w:hAnsi="Times New Roman" w:cs="Times New Roman"/>
          <w:bCs/>
          <w:color w:val="C00000"/>
          <w:sz w:val="24"/>
          <w:szCs w:val="24"/>
        </w:rPr>
      </w:pPr>
    </w:p>
    <w:p w14:paraId="0F042717" w14:textId="652D58D0" w:rsidR="00D55D07" w:rsidRDefault="00D55D07" w:rsidP="00D55D07">
      <w:pPr>
        <w:pStyle w:val="ListParagraph"/>
        <w:numPr>
          <w:ilvl w:val="0"/>
          <w:numId w:val="4"/>
        </w:numPr>
        <w:spacing w:after="0"/>
        <w:rPr>
          <w:rFonts w:ascii="Times New Roman" w:hAnsi="Times New Roman" w:cs="Times New Roman"/>
          <w:bCs/>
          <w:color w:val="C00000"/>
          <w:sz w:val="24"/>
          <w:szCs w:val="24"/>
        </w:rPr>
      </w:pPr>
      <w:r w:rsidRPr="00C81C1C">
        <w:rPr>
          <w:rFonts w:ascii="Times New Roman" w:hAnsi="Times New Roman" w:cs="Times New Roman"/>
          <w:bCs/>
          <w:color w:val="C00000"/>
          <w:sz w:val="24"/>
          <w:szCs w:val="24"/>
        </w:rPr>
        <w:t>The Board notes DHS’s concession that “the [AAF] does not apply in cases where an alien files a Form I-589 only for statutory withholding of removal or CAT protection</w:t>
      </w:r>
      <w:r w:rsidR="00C81C1C" w:rsidRPr="00C81C1C">
        <w:rPr>
          <w:rFonts w:ascii="Times New Roman" w:hAnsi="Times New Roman" w:cs="Times New Roman"/>
          <w:bCs/>
          <w:color w:val="C00000"/>
          <w:sz w:val="24"/>
          <w:szCs w:val="24"/>
        </w:rPr>
        <w:t>,” 791,</w:t>
      </w:r>
      <w:r w:rsidRPr="00C81C1C">
        <w:rPr>
          <w:rFonts w:ascii="Times New Roman" w:hAnsi="Times New Roman" w:cs="Times New Roman"/>
          <w:bCs/>
          <w:color w:val="C00000"/>
          <w:sz w:val="24"/>
          <w:szCs w:val="24"/>
        </w:rPr>
        <w:t xml:space="preserve"> but it’s not clear here whether </w:t>
      </w:r>
      <w:r w:rsidR="00E50348">
        <w:rPr>
          <w:rFonts w:ascii="Times New Roman" w:hAnsi="Times New Roman" w:cs="Times New Roman"/>
          <w:bCs/>
          <w:color w:val="C00000"/>
          <w:sz w:val="24"/>
          <w:szCs w:val="24"/>
        </w:rPr>
        <w:t>DHS’s</w:t>
      </w:r>
      <w:r w:rsidRPr="00C81C1C">
        <w:rPr>
          <w:rFonts w:ascii="Times New Roman" w:hAnsi="Times New Roman" w:cs="Times New Roman"/>
          <w:bCs/>
          <w:color w:val="C00000"/>
          <w:sz w:val="24"/>
          <w:szCs w:val="24"/>
        </w:rPr>
        <w:t xml:space="preserve"> </w:t>
      </w:r>
      <w:r w:rsidR="00E50348">
        <w:rPr>
          <w:rFonts w:ascii="Times New Roman" w:hAnsi="Times New Roman" w:cs="Times New Roman"/>
          <w:bCs/>
          <w:color w:val="C00000"/>
          <w:sz w:val="24"/>
          <w:szCs w:val="24"/>
        </w:rPr>
        <w:t>understanding</w:t>
      </w:r>
      <w:r w:rsidRPr="00C81C1C">
        <w:rPr>
          <w:rFonts w:ascii="Times New Roman" w:hAnsi="Times New Roman" w:cs="Times New Roman"/>
          <w:bCs/>
          <w:color w:val="C00000"/>
          <w:sz w:val="24"/>
          <w:szCs w:val="24"/>
        </w:rPr>
        <w:t xml:space="preserve"> also contemplates </w:t>
      </w:r>
      <w:r w:rsidR="00E50348">
        <w:rPr>
          <w:rFonts w:ascii="Times New Roman" w:hAnsi="Times New Roman" w:cs="Times New Roman"/>
          <w:bCs/>
          <w:color w:val="C00000"/>
          <w:sz w:val="24"/>
          <w:szCs w:val="24"/>
        </w:rPr>
        <w:t xml:space="preserve">that </w:t>
      </w:r>
      <w:r w:rsidRPr="00C81C1C">
        <w:rPr>
          <w:rFonts w:ascii="Times New Roman" w:hAnsi="Times New Roman" w:cs="Times New Roman"/>
          <w:bCs/>
          <w:color w:val="C00000"/>
          <w:sz w:val="24"/>
          <w:szCs w:val="24"/>
        </w:rPr>
        <w:t xml:space="preserve">an </w:t>
      </w:r>
      <w:r w:rsidRPr="00C81C1C">
        <w:rPr>
          <w:rFonts w:ascii="Times New Roman" w:hAnsi="Times New Roman" w:cs="Times New Roman"/>
          <w:bCs/>
          <w:i/>
          <w:iCs/>
          <w:color w:val="C00000"/>
          <w:sz w:val="24"/>
          <w:szCs w:val="24"/>
        </w:rPr>
        <w:t>initial</w:t>
      </w:r>
      <w:r w:rsidRPr="00C81C1C">
        <w:rPr>
          <w:rFonts w:ascii="Times New Roman" w:hAnsi="Times New Roman" w:cs="Times New Roman"/>
          <w:bCs/>
          <w:color w:val="C00000"/>
          <w:sz w:val="24"/>
          <w:szCs w:val="24"/>
        </w:rPr>
        <w:t xml:space="preserve"> filing fee for WH / CAT I-589 applications</w:t>
      </w:r>
      <w:r w:rsidR="00E50348">
        <w:rPr>
          <w:rFonts w:ascii="Times New Roman" w:hAnsi="Times New Roman" w:cs="Times New Roman"/>
          <w:bCs/>
          <w:color w:val="C00000"/>
          <w:sz w:val="24"/>
          <w:szCs w:val="24"/>
        </w:rPr>
        <w:t xml:space="preserve"> does not apply</w:t>
      </w:r>
      <w:r w:rsidRPr="00C81C1C">
        <w:rPr>
          <w:rFonts w:ascii="Times New Roman" w:hAnsi="Times New Roman" w:cs="Times New Roman"/>
          <w:bCs/>
          <w:color w:val="C00000"/>
          <w:sz w:val="24"/>
          <w:szCs w:val="24"/>
        </w:rPr>
        <w:t>. (If it does</w:t>
      </w:r>
      <w:r w:rsidR="00E50348">
        <w:rPr>
          <w:rFonts w:ascii="Times New Roman" w:hAnsi="Times New Roman" w:cs="Times New Roman"/>
          <w:bCs/>
          <w:color w:val="C00000"/>
          <w:sz w:val="24"/>
          <w:szCs w:val="24"/>
        </w:rPr>
        <w:t>n’t apply</w:t>
      </w:r>
      <w:r w:rsidRPr="00C81C1C">
        <w:rPr>
          <w:rFonts w:ascii="Times New Roman" w:hAnsi="Times New Roman" w:cs="Times New Roman"/>
          <w:bCs/>
          <w:color w:val="C00000"/>
          <w:sz w:val="24"/>
          <w:szCs w:val="24"/>
        </w:rPr>
        <w:t>, how do we differentiate an I-589 filed for WH only when uploading to ECAS so that it isn’t rejected?)</w:t>
      </w:r>
    </w:p>
    <w:p w14:paraId="6407D61A" w14:textId="77777777" w:rsidR="00C81C1C" w:rsidRPr="00C81C1C" w:rsidRDefault="00C81C1C" w:rsidP="00C81C1C">
      <w:pPr>
        <w:spacing w:after="0"/>
        <w:rPr>
          <w:rFonts w:ascii="Times New Roman" w:hAnsi="Times New Roman" w:cs="Times New Roman"/>
          <w:bCs/>
          <w:color w:val="C00000"/>
          <w:sz w:val="24"/>
          <w:szCs w:val="24"/>
        </w:rPr>
      </w:pPr>
    </w:p>
    <w:p w14:paraId="7793531D" w14:textId="01CCF1D3" w:rsidR="00C81C1C" w:rsidRDefault="00C81C1C" w:rsidP="00D55D07">
      <w:pPr>
        <w:pStyle w:val="ListParagraph"/>
        <w:numPr>
          <w:ilvl w:val="0"/>
          <w:numId w:val="4"/>
        </w:numPr>
        <w:spacing w:after="0"/>
        <w:rPr>
          <w:rFonts w:ascii="Times New Roman" w:hAnsi="Times New Roman" w:cs="Times New Roman"/>
          <w:bCs/>
          <w:color w:val="C00000"/>
          <w:sz w:val="24"/>
          <w:szCs w:val="24"/>
        </w:rPr>
      </w:pPr>
      <w:r w:rsidRPr="00C81C1C">
        <w:rPr>
          <w:rFonts w:ascii="Times New Roman" w:hAnsi="Times New Roman" w:cs="Times New Roman"/>
          <w:bCs/>
          <w:color w:val="C00000"/>
          <w:sz w:val="24"/>
          <w:szCs w:val="24"/>
        </w:rPr>
        <w:t xml:space="preserve">There is no standardization to the setting of an annual asylum fee deadline in the Immigration Courts. </w:t>
      </w:r>
      <w:r w:rsidR="00E50348">
        <w:rPr>
          <w:rFonts w:ascii="Times New Roman" w:hAnsi="Times New Roman" w:cs="Times New Roman"/>
          <w:bCs/>
          <w:color w:val="C00000"/>
          <w:sz w:val="24"/>
          <w:szCs w:val="24"/>
        </w:rPr>
        <w:t xml:space="preserve">The BIA says that </w:t>
      </w:r>
      <w:r w:rsidRPr="00C81C1C">
        <w:rPr>
          <w:rFonts w:ascii="Times New Roman" w:hAnsi="Times New Roman" w:cs="Times New Roman"/>
          <w:bCs/>
          <w:color w:val="C00000"/>
          <w:sz w:val="24"/>
          <w:szCs w:val="24"/>
        </w:rPr>
        <w:t xml:space="preserve">IJs “CAN” articulate a deadline (789), but this implies they can also choose </w:t>
      </w:r>
      <w:r w:rsidRPr="00C81C1C">
        <w:rPr>
          <w:rFonts w:ascii="Times New Roman" w:hAnsi="Times New Roman" w:cs="Times New Roman"/>
          <w:bCs/>
          <w:i/>
          <w:iCs/>
          <w:color w:val="C00000"/>
          <w:sz w:val="24"/>
          <w:szCs w:val="24"/>
        </w:rPr>
        <w:t xml:space="preserve">not </w:t>
      </w:r>
      <w:r w:rsidRPr="00C81C1C">
        <w:rPr>
          <w:rFonts w:ascii="Times New Roman" w:hAnsi="Times New Roman" w:cs="Times New Roman"/>
          <w:bCs/>
          <w:color w:val="C00000"/>
          <w:sz w:val="24"/>
          <w:szCs w:val="24"/>
        </w:rPr>
        <w:t>to; and among those who choose to do so, no two do it the same way</w:t>
      </w:r>
      <w:r w:rsidR="00E50348">
        <w:rPr>
          <w:rFonts w:ascii="Times New Roman" w:hAnsi="Times New Roman" w:cs="Times New Roman"/>
          <w:bCs/>
          <w:color w:val="C00000"/>
          <w:sz w:val="24"/>
          <w:szCs w:val="24"/>
        </w:rPr>
        <w:t>,</w:t>
      </w:r>
      <w:r w:rsidRPr="00C81C1C">
        <w:rPr>
          <w:rFonts w:ascii="Times New Roman" w:hAnsi="Times New Roman" w:cs="Times New Roman"/>
          <w:bCs/>
          <w:color w:val="C00000"/>
          <w:sz w:val="24"/>
          <w:szCs w:val="24"/>
        </w:rPr>
        <w:t xml:space="preserve"> as of the date of this decision.</w:t>
      </w:r>
    </w:p>
    <w:p w14:paraId="32744B99" w14:textId="77777777" w:rsidR="00C81C1C" w:rsidRPr="00C81C1C" w:rsidRDefault="00C81C1C" w:rsidP="00C81C1C">
      <w:pPr>
        <w:spacing w:after="0"/>
        <w:rPr>
          <w:rFonts w:ascii="Times New Roman" w:hAnsi="Times New Roman" w:cs="Times New Roman"/>
          <w:bCs/>
          <w:color w:val="C00000"/>
          <w:sz w:val="24"/>
          <w:szCs w:val="24"/>
        </w:rPr>
      </w:pPr>
    </w:p>
    <w:p w14:paraId="06B330E3" w14:textId="7ADB6FA1" w:rsidR="00C81C1C" w:rsidRPr="00C81C1C" w:rsidRDefault="00C81C1C" w:rsidP="00D55D07">
      <w:pPr>
        <w:pStyle w:val="ListParagraph"/>
        <w:numPr>
          <w:ilvl w:val="0"/>
          <w:numId w:val="4"/>
        </w:numPr>
        <w:spacing w:after="0"/>
        <w:rPr>
          <w:rFonts w:ascii="Times New Roman" w:hAnsi="Times New Roman" w:cs="Times New Roman"/>
          <w:bCs/>
          <w:color w:val="C00000"/>
          <w:sz w:val="24"/>
          <w:szCs w:val="24"/>
        </w:rPr>
      </w:pPr>
      <w:r w:rsidRPr="00C81C1C">
        <w:rPr>
          <w:rFonts w:ascii="Times New Roman" w:hAnsi="Times New Roman" w:cs="Times New Roman"/>
          <w:bCs/>
          <w:color w:val="C00000"/>
          <w:sz w:val="24"/>
          <w:szCs w:val="24"/>
        </w:rPr>
        <w:t>If IJs choose to set a deadline, the BIA’s standard would be “sufficient notice and opportunity to pay” the annual asylum fee.</w:t>
      </w:r>
      <w:r w:rsidRPr="00C81C1C">
        <w:rPr>
          <w:rFonts w:ascii="Times New Roman" w:hAnsi="Times New Roman" w:cs="Times New Roman"/>
          <w:bCs/>
          <w:color w:val="C00000"/>
          <w:sz w:val="24"/>
          <w:szCs w:val="24"/>
        </w:rPr>
        <w:tab/>
        <w:t>792</w:t>
      </w:r>
      <w:r w:rsidRPr="00C81C1C">
        <w:rPr>
          <w:rFonts w:ascii="Times New Roman" w:hAnsi="Times New Roman" w:cs="Times New Roman"/>
          <w:bCs/>
          <w:color w:val="C00000"/>
          <w:sz w:val="24"/>
          <w:szCs w:val="24"/>
        </w:rPr>
        <w:tab/>
        <w:t xml:space="preserve">Note that the IJ in this case gave a little more than ONE MONTH of notice. Can we use this example to make an argument on appeal, if an IJ pretermits after giving a deadline of ONE DAY? </w:t>
      </w:r>
    </w:p>
    <w:sectPr w:rsidR="00C81C1C" w:rsidRPr="00C81C1C" w:rsidSect="00CE41B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2B5C0" w14:textId="77777777" w:rsidR="00124E1E" w:rsidRDefault="00124E1E" w:rsidP="00077658">
      <w:pPr>
        <w:spacing w:after="0" w:line="240" w:lineRule="auto"/>
      </w:pPr>
      <w:r>
        <w:separator/>
      </w:r>
    </w:p>
  </w:endnote>
  <w:endnote w:type="continuationSeparator" w:id="0">
    <w:p w14:paraId="2B4F2917" w14:textId="77777777" w:rsidR="00124E1E" w:rsidRDefault="00124E1E" w:rsidP="00077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86185" w14:textId="77777777" w:rsidR="00124E1E" w:rsidRDefault="00124E1E" w:rsidP="00077658">
      <w:pPr>
        <w:spacing w:after="0" w:line="240" w:lineRule="auto"/>
      </w:pPr>
      <w:r>
        <w:separator/>
      </w:r>
    </w:p>
  </w:footnote>
  <w:footnote w:type="continuationSeparator" w:id="0">
    <w:p w14:paraId="7A9FDE3E" w14:textId="77777777" w:rsidR="00124E1E" w:rsidRDefault="00124E1E" w:rsidP="00077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5D29B" w14:textId="5DE05739" w:rsidR="00077658" w:rsidRPr="00D55D07" w:rsidRDefault="00D55D07">
    <w:pPr>
      <w:pStyle w:val="Header"/>
      <w:rPr>
        <w:b/>
        <w:bCs/>
      </w:rPr>
    </w:pPr>
    <w:r>
      <w:t>BIA</w:t>
    </w:r>
    <w:r w:rsidR="00077658">
      <w:ptab w:relativeTo="margin" w:alignment="center" w:leader="none"/>
    </w:r>
    <w:r>
      <w:t>July 24, 2026</w:t>
    </w:r>
    <w:r w:rsidR="00077658">
      <w:ptab w:relativeTo="margin" w:alignment="right" w:leader="none"/>
    </w:r>
    <w:r w:rsidRPr="00D55D07">
      <w:rPr>
        <w:b/>
        <w:bCs/>
      </w:rPr>
      <w:t>Matter of L-F-R-</w:t>
    </w:r>
  </w:p>
  <w:p w14:paraId="1F3D6F89" w14:textId="69373904" w:rsidR="00077658" w:rsidRDefault="00D55D07" w:rsidP="00077658">
    <w:pPr>
      <w:pStyle w:val="Header"/>
      <w:jc w:val="right"/>
    </w:pPr>
    <w:r>
      <w:t>ANNUAL ASYLUM FEE, WH &amp; CAT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96E41"/>
    <w:multiLevelType w:val="hybridMultilevel"/>
    <w:tmpl w:val="9DB01AA6"/>
    <w:lvl w:ilvl="0" w:tplc="EC6443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91269C"/>
    <w:multiLevelType w:val="hybridMultilevel"/>
    <w:tmpl w:val="D8BA0FDE"/>
    <w:lvl w:ilvl="0" w:tplc="E780BA9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4E03E4"/>
    <w:multiLevelType w:val="hybridMultilevel"/>
    <w:tmpl w:val="4BCAE3A2"/>
    <w:lvl w:ilvl="0" w:tplc="A5F05E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D93617"/>
    <w:multiLevelType w:val="hybridMultilevel"/>
    <w:tmpl w:val="65BE8ED0"/>
    <w:lvl w:ilvl="0" w:tplc="F72E637E">
      <w:start w:val="1"/>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EB21BB"/>
    <w:multiLevelType w:val="hybridMultilevel"/>
    <w:tmpl w:val="C58AF226"/>
    <w:lvl w:ilvl="0" w:tplc="71D46A2E">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000765">
    <w:abstractNumId w:val="1"/>
  </w:num>
  <w:num w:numId="2" w16cid:durableId="2098820453">
    <w:abstractNumId w:val="0"/>
  </w:num>
  <w:num w:numId="3" w16cid:durableId="1967197926">
    <w:abstractNumId w:val="2"/>
  </w:num>
  <w:num w:numId="4" w16cid:durableId="200095435">
    <w:abstractNumId w:val="4"/>
  </w:num>
  <w:num w:numId="5" w16cid:durableId="19801131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658"/>
    <w:rsid w:val="00077658"/>
    <w:rsid w:val="00124E1E"/>
    <w:rsid w:val="001F1EB3"/>
    <w:rsid w:val="00257700"/>
    <w:rsid w:val="003E0FF6"/>
    <w:rsid w:val="006466D1"/>
    <w:rsid w:val="0088736A"/>
    <w:rsid w:val="00AA1720"/>
    <w:rsid w:val="00B13A5E"/>
    <w:rsid w:val="00C81C1C"/>
    <w:rsid w:val="00CC0A70"/>
    <w:rsid w:val="00CE41B9"/>
    <w:rsid w:val="00D55D07"/>
    <w:rsid w:val="00E50348"/>
    <w:rsid w:val="00E57DFC"/>
    <w:rsid w:val="00F06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2A354"/>
  <w15:docId w15:val="{2A6E7B2D-E12D-FC4C-A8BF-429D667FB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1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7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658"/>
  </w:style>
  <w:style w:type="paragraph" w:styleId="Footer">
    <w:name w:val="footer"/>
    <w:basedOn w:val="Normal"/>
    <w:link w:val="FooterChar"/>
    <w:uiPriority w:val="99"/>
    <w:unhideWhenUsed/>
    <w:rsid w:val="00077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658"/>
  </w:style>
  <w:style w:type="paragraph" w:styleId="BalloonText">
    <w:name w:val="Balloon Text"/>
    <w:basedOn w:val="Normal"/>
    <w:link w:val="BalloonTextChar"/>
    <w:uiPriority w:val="99"/>
    <w:semiHidden/>
    <w:unhideWhenUsed/>
    <w:rsid w:val="000776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7658"/>
    <w:rPr>
      <w:rFonts w:ascii="Tahoma" w:hAnsi="Tahoma" w:cs="Tahoma"/>
      <w:sz w:val="16"/>
      <w:szCs w:val="16"/>
    </w:rPr>
  </w:style>
  <w:style w:type="paragraph" w:styleId="ListParagraph">
    <w:name w:val="List Paragraph"/>
    <w:basedOn w:val="Normal"/>
    <w:uiPriority w:val="34"/>
    <w:qFormat/>
    <w:rsid w:val="00D55D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1597</Words>
  <Characters>9107</Characters>
  <Application>Microsoft Office Word</Application>
  <DocSecurity>0</DocSecurity>
  <Lines>75</Lines>
  <Paragraphs>21</Paragraphs>
  <ScaleCrop>false</ScaleCrop>
  <Company>Hewlett-Packard Company</Company>
  <LinksUpToDate>false</LinksUpToDate>
  <CharactersWithSpaces>10683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paige</dc:creator>
  <cp:lastModifiedBy>Paige Britton</cp:lastModifiedBy>
  <cp:revision>2</cp:revision>
  <dcterms:created xsi:type="dcterms:W3CDTF">2026-09-07T19:15:00Z</dcterms:created>
  <dcterms:modified xsi:type="dcterms:W3CDTF">2026-09-07T19:15:00Z</dcterms:modified>
</cp:coreProperties>
</file>